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100"/>
      </w:pPr>
      <w:r>
        <w:t xml:space="preserve"/>
      </w:r>
    </w:p>
    <w:p>
      <w:pPr>
        <w:spacing w:after="100" w:before="100"/>
      </w:pPr>
      <w:r>
        <w:t xml:space="preserve"/>
      </w:r>
    </w:p>
    <w:p>
      <w:pPr>
        <w:spacing w:after="100" w:before="100"/>
      </w:pPr>
      <w:r>
        <w:t xml:space="preserve"/>
      </w:r>
    </w:p>
    <w:p>
      <w:pPr>
        <w:spacing w:after="100" w:before="200"/>
        <w:jc w:val="center"/>
      </w:pPr>
      <w:r>
        <w:rPr>
          <w:b/>
          <w:bCs/>
          <w:sz w:val="52"/>
          <w:szCs w:val="52"/>
        </w:rPr>
        <w:t xml:space="preserve">病院向けACP（アドバンス・ケア・プランニング）</w:t>
      </w:r>
    </w:p>
    <w:p>
      <w:pPr>
        <w:spacing w:after="400" w:before="0"/>
        <w:jc w:val="center"/>
      </w:pPr>
      <w:r>
        <w:rPr>
          <w:b/>
          <w:bCs/>
          <w:sz w:val="52"/>
          <w:szCs w:val="52"/>
        </w:rPr>
        <w:t xml:space="preserve">人生会議 実践マニュアル</w:t>
      </w:r>
    </w:p>
    <w:p>
      <w:pPr>
        <w:spacing w:after="800" w:before="0"/>
        <w:jc w:val="center"/>
      </w:pPr>
      <w:r>
        <w:rPr>
          <w:b w:val="false"/>
          <w:bCs w:val="false"/>
          <w:color w:val="1a6b5a"/>
          <w:sz w:val="28"/>
          <w:szCs w:val="28"/>
        </w:rPr>
        <w:t xml:space="preserve">令和6年度診療報酬改定対応版</w:t>
      </w:r>
    </w:p>
    <w:p>
      <w:pPr>
        <w:spacing w:after="100" w:before="100"/>
      </w:pPr>
      <w:r>
        <w:t xml:space="preserve"/>
      </w:r>
    </w:p>
    <w:p>
      <w:pPr>
        <w:spacing w:after="100" w:before="100"/>
      </w:pPr>
      <w:r>
        <w:t xml:space="preserve"/>
      </w:r>
    </w:p>
    <w:p>
      <w:pPr>
        <w:spacing w:after="100" w:before="100"/>
      </w:pPr>
      <w:r>
        <w:t xml:space="preserve"/>
      </w:r>
    </w:p>
    <w:tbl>
      <w:tblPr>
        <w:tblW w:type="pct" w:w="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bCs/>
                <w:sz w:val="21"/>
                <w:szCs w:val="21"/>
              </w:rPr>
              <w:t xml:space="preserve">施設名：</w:t>
            </w:r>
          </w:p>
        </w:tc>
        <w:tc>
          <w:tcPr>
            <w:tcBorders>
              <w:top w:val="none"/>
              <w:left w:val="none"/>
              <w:bottom w:val="single" w:color="444444" w:sz="4"/>
              <w:right w:val="none"/>
            </w:tcBorders>
            <w:tcMar>
              <w:top w:type="dxa" w:w="80"/>
              <w:left w:type="dxa" w:w="120"/>
              <w:bottom w:type="dxa" w:w="80"/>
              <w:right w:type="dxa" w:w="120"/>
            </w:tcMar>
          </w:tcPr>
          <w:p>
            <w:r>
              <w:rPr>
                <w:sz w:val="21"/>
                <w:szCs w:val="21"/>
              </w:rPr>
              <w:t xml:space="preserve"/>
            </w:r>
          </w:p>
        </w:tc>
      </w:tr>
    </w:tbl>
    <w:p>
      <w:r>
        <w:br w:type="page"/>
      </w:r>
    </w:p>
    <w:p>
      <w:pPr>
        <w:pStyle w:val="Heading1"/>
        <w:spacing w:after="200" w:before="360"/>
      </w:pPr>
      <w:r>
        <w:rPr>
          <w:b/>
          <w:bCs/>
          <w:sz w:val="32"/>
          <w:szCs w:val="32"/>
          <w:u w:val="single"/>
        </w:rPr>
        <w:t xml:space="preserve">目次</w:t>
      </w:r>
    </w:p>
    <w:p>
      <w:pPr>
        <w:spacing w:after="60" w:before="60"/>
        <w:jc w:val="left"/>
      </w:pPr>
      <w:r>
        <w:rPr>
          <w:b w:val="false"/>
          <w:bCs w:val="false"/>
          <w:i w:val="false"/>
          <w:iCs w:val="false"/>
          <w:sz w:val="21"/>
          <w:szCs w:val="21"/>
        </w:rPr>
        <w:t xml:space="preserve">第1章　はじめに：ACPの基本理解</w:t>
      </w:r>
    </w:p>
    <w:p>
      <w:pPr>
        <w:spacing w:after="60" w:before="60"/>
        <w:jc w:val="left"/>
      </w:pPr>
      <w:r>
        <w:rPr>
          <w:b w:val="false"/>
          <w:bCs w:val="false"/>
          <w:i w:val="false"/>
          <w:iCs w:val="false"/>
          <w:sz w:val="21"/>
          <w:szCs w:val="21"/>
        </w:rPr>
        <w:t xml:space="preserve">第2章　診療報酬対応：意思決定支援指針の作成</w:t>
      </w:r>
    </w:p>
    <w:p>
      <w:pPr>
        <w:spacing w:after="60" w:before="60"/>
        <w:jc w:val="left"/>
      </w:pPr>
      <w:r>
        <w:rPr>
          <w:b w:val="false"/>
          <w:bCs w:val="false"/>
          <w:i w:val="false"/>
          <w:iCs w:val="false"/>
          <w:sz w:val="21"/>
          <w:szCs w:val="21"/>
        </w:rPr>
        <w:t xml:space="preserve">第3章　ACP対話の進め方</w:t>
      </w:r>
    </w:p>
    <w:p>
      <w:pPr>
        <w:spacing w:after="60" w:before="60"/>
        <w:jc w:val="left"/>
      </w:pPr>
      <w:r>
        <w:rPr>
          <w:b w:val="false"/>
          <w:bCs w:val="false"/>
          <w:i w:val="false"/>
          <w:iCs w:val="false"/>
          <w:sz w:val="21"/>
          <w:szCs w:val="21"/>
        </w:rPr>
        <w:t xml:space="preserve">第4章　職種別ガイド</w:t>
      </w:r>
    </w:p>
    <w:p>
      <w:pPr>
        <w:spacing w:after="60" w:before="60"/>
        <w:jc w:val="left"/>
      </w:pPr>
      <w:r>
        <w:rPr>
          <w:b w:val="false"/>
          <w:bCs w:val="false"/>
          <w:i w:val="false"/>
          <w:iCs w:val="false"/>
          <w:sz w:val="21"/>
          <w:szCs w:val="21"/>
        </w:rPr>
        <w:t xml:space="preserve">第5章　院内研修プログラム</w:t>
      </w:r>
    </w:p>
    <w:p>
      <w:pPr>
        <w:spacing w:after="60" w:before="60"/>
        <w:jc w:val="left"/>
      </w:pPr>
      <w:r>
        <w:rPr>
          <w:b w:val="false"/>
          <w:bCs w:val="false"/>
          <w:i w:val="false"/>
          <w:iCs w:val="false"/>
          <w:sz w:val="21"/>
          <w:szCs w:val="21"/>
        </w:rPr>
        <w:t xml:space="preserve">第6章　運用と定着</w:t>
      </w:r>
    </w:p>
    <w:p>
      <w:pPr>
        <w:spacing w:after="60" w:before="60"/>
        <w:jc w:val="left"/>
      </w:pPr>
      <w:r>
        <w:rPr>
          <w:b w:val="false"/>
          <w:bCs w:val="false"/>
          <w:i w:val="false"/>
          <w:iCs w:val="false"/>
          <w:sz w:val="21"/>
          <w:szCs w:val="21"/>
        </w:rPr>
        <w:t xml:space="preserve">参考文献</w:t>
      </w:r>
    </w:p>
    <w:p>
      <w:r>
        <w:br w:type="page"/>
      </w:r>
    </w:p>
    <w:p>
      <w:pPr>
        <w:pStyle w:val="Heading1"/>
        <w:spacing w:after="200" w:before="360"/>
      </w:pPr>
      <w:r>
        <w:rPr>
          <w:b/>
          <w:bCs/>
          <w:sz w:val="32"/>
          <w:szCs w:val="32"/>
          <w:u w:val="single"/>
        </w:rPr>
        <w:t xml:space="preserve">第1章　はじめに：ACPの基本理解</w:t>
      </w:r>
    </w:p>
    <w:p>
      <w:pPr>
        <w:pStyle w:val="Heading2"/>
        <w:spacing w:after="140" w:before="280"/>
      </w:pPr>
      <w:r>
        <w:rPr>
          <w:b/>
          <w:bCs/>
          <w:sz w:val="26"/>
          <w:szCs w:val="26"/>
        </w:rPr>
        <w:t xml:space="preserve">1.1 ACPとは</w:t>
      </w:r>
    </w:p>
    <w:p>
      <w:pPr>
        <w:spacing w:after="60" w:before="60"/>
        <w:jc w:val="left"/>
      </w:pPr>
      <w:r>
        <w:rPr>
          <w:b w:val="false"/>
          <w:bCs w:val="false"/>
          <w:i w:val="false"/>
          <w:iCs w:val="false"/>
          <w:sz w:val="21"/>
          <w:szCs w:val="21"/>
        </w:rPr>
        <w:t xml:space="preserve">ACP（Advance Care Planning：アドバンス・ケア・プランニング）とは、将来の意思決定能力の低下に備えて、本人が家族や医療・ケアチームと繰り返し話し合い、本人の意思を明確にし、共有するプロセスです。「人生会議」とも呼ばれ、厚生労働省が2018年より普及啓発を推進しています。</w:t>
      </w:r>
    </w:p>
    <w:p>
      <w:pPr>
        <w:spacing w:after="100" w:before="100"/>
      </w:pPr>
      <w:r>
        <w:t xml:space="preserve"/>
      </w:r>
    </w:p>
    <w:p>
      <w:pPr>
        <w:pStyle w:val="Heading2"/>
        <w:spacing w:after="140" w:before="280"/>
      </w:pPr>
      <w:r>
        <w:rPr>
          <w:b/>
          <w:bCs/>
          <w:sz w:val="26"/>
          <w:szCs w:val="26"/>
        </w:rPr>
        <w:t xml:space="preserve">1.2 背景と必要性</w:t>
      </w:r>
    </w:p>
    <w:p>
      <w:pPr>
        <w:spacing w:after="60" w:before="60"/>
        <w:jc w:val="left"/>
      </w:pPr>
      <w:r>
        <w:rPr>
          <w:b w:val="false"/>
          <w:bCs w:val="false"/>
          <w:i w:val="false"/>
          <w:iCs w:val="false"/>
          <w:sz w:val="21"/>
          <w:szCs w:val="21"/>
        </w:rPr>
        <w:t xml:space="preserve">日本では人生の最終段階において自らの意思を伝えられない状態になる患者が約70%に上ると言われています。また、国民のACPへの認知度は約6%（2019年調査）と低く、医療現場での普及が急務となっています。令和6年度診療報酬改定では、入院料の通則要件として「意思決定支援に関する指針」の作成が義務付けられました。</w:t>
      </w:r>
    </w:p>
    <w:p>
      <w:pPr>
        <w:spacing w:after="100" w:before="100"/>
      </w:pPr>
      <w:r>
        <w:t xml:space="preserve"/>
      </w:r>
    </w:p>
    <w:p>
      <w:pPr>
        <w:pStyle w:val="Heading2"/>
        <w:spacing w:after="140" w:before="280"/>
      </w:pPr>
      <w:r>
        <w:rPr>
          <w:b/>
          <w:bCs/>
          <w:sz w:val="26"/>
          <w:szCs w:val="26"/>
        </w:rPr>
        <w:t xml:space="preserve">1.3 関連ガイドライン一覧</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Borders>
              <w:top w:val="single" w:color="FFFFFF" w:sz="4"/>
              <w:left w:val="single" w:color="FFFFFF" w:sz="4"/>
              <w:bottom w:val="single" w:color="FFFFFF" w:sz="4"/>
              <w:right w:val="single" w:color="FFFFFF" w:sz="4"/>
            </w:tcBorders>
            <w:shd w:color="1e3333" w:val="solid"/>
            <w:tcMar>
              <w:top w:type="dxa" w:w="80"/>
              <w:left w:type="dxa" w:w="120"/>
              <w:bottom w:type="dxa" w:w="80"/>
              <w:right w:type="dxa" w:w="120"/>
            </w:tcMar>
            <w:vAlign w:val="center"/>
          </w:tcPr>
          <w:p>
            <w:pPr>
              <w:jc w:val="center"/>
            </w:pPr>
            <w:r>
              <w:rPr>
                <w:b/>
                <w:bCs/>
                <w:color w:val="FFFFFF"/>
                <w:sz w:val="21"/>
                <w:szCs w:val="21"/>
              </w:rPr>
              <w:t xml:space="preserve">ガイドライン名</w:t>
            </w:r>
          </w:p>
        </w:tc>
        <w:tc>
          <w:tcPr>
            <w:tcBorders>
              <w:top w:val="single" w:color="FFFFFF" w:sz="4"/>
              <w:left w:val="single" w:color="FFFFFF" w:sz="4"/>
              <w:bottom w:val="single" w:color="FFFFFF" w:sz="4"/>
              <w:right w:val="single" w:color="FFFFFF" w:sz="4"/>
            </w:tcBorders>
            <w:shd w:color="1e3333" w:val="solid"/>
            <w:tcMar>
              <w:top w:type="dxa" w:w="80"/>
              <w:left w:type="dxa" w:w="120"/>
              <w:bottom w:type="dxa" w:w="80"/>
              <w:right w:type="dxa" w:w="120"/>
            </w:tcMar>
            <w:vAlign w:val="center"/>
          </w:tcPr>
          <w:p>
            <w:pPr>
              <w:jc w:val="center"/>
            </w:pPr>
            <w:r>
              <w:rPr>
                <w:b/>
                <w:bCs/>
                <w:color w:val="FFFFFF"/>
                <w:sz w:val="21"/>
                <w:szCs w:val="21"/>
              </w:rPr>
              <w:t xml:space="preserve">発行年</w:t>
            </w:r>
          </w:p>
        </w:tc>
        <w:tc>
          <w:tcPr>
            <w:tcBorders>
              <w:top w:val="single" w:color="FFFFFF" w:sz="4"/>
              <w:left w:val="single" w:color="FFFFFF" w:sz="4"/>
              <w:bottom w:val="single" w:color="FFFFFF" w:sz="4"/>
              <w:right w:val="single" w:color="FFFFFF" w:sz="4"/>
            </w:tcBorders>
            <w:shd w:color="1e3333" w:val="solid"/>
            <w:tcMar>
              <w:top w:type="dxa" w:w="80"/>
              <w:left w:type="dxa" w:w="120"/>
              <w:bottom w:type="dxa" w:w="80"/>
              <w:right w:type="dxa" w:w="120"/>
            </w:tcMar>
            <w:vAlign w:val="center"/>
          </w:tcPr>
          <w:p>
            <w:pPr>
              <w:jc w:val="center"/>
            </w:pPr>
            <w:r>
              <w:rPr>
                <w:b/>
                <w:bCs/>
                <w:color w:val="FFFFFF"/>
                <w:sz w:val="21"/>
                <w:szCs w:val="21"/>
              </w:rPr>
              <w:t xml:space="preserve">発行機関</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人生の最終段階における医療・ケアの決定プロセスに関するガイドライン</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2018年</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厚生労働省</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認知症の人の日常生活・社会生活における意思決定支援ガイドライン</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2018年</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厚生労働省</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障害福祉サービス等の提供に係る意思決定支援ガイドライン</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2017年</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厚生労働省</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ACP推進に関する提言</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2019年</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日本医師会</w:t>
            </w:r>
          </w:p>
        </w:tc>
      </w:tr>
    </w:tbl>
    <w:p>
      <w:pPr>
        <w:spacing w:after="100" w:before="100"/>
      </w:pPr>
      <w:r>
        <w:t xml:space="preserve"/>
      </w:r>
    </w:p>
    <w:p>
      <w:pPr>
        <w:pStyle w:val="Heading2"/>
        <w:spacing w:after="140" w:before="280"/>
      </w:pPr>
      <w:r>
        <w:rPr>
          <w:b/>
          <w:bCs/>
          <w:sz w:val="26"/>
          <w:szCs w:val="26"/>
        </w:rPr>
        <w:t xml:space="preserve">1.4 生命倫理の4原則</w:t>
      </w:r>
    </w:p>
    <w:p>
      <w:pPr>
        <w:pStyle w:val="ListParagraph"/>
        <w:numPr>
          <w:ilvl w:val="0"/>
          <w:numId w:val="1"/>
        </w:numPr>
        <w:spacing w:after="40" w:before="40"/>
      </w:pPr>
      <w:r>
        <w:rPr>
          <w:sz w:val="21"/>
          <w:szCs w:val="21"/>
        </w:rPr>
        <w:t xml:space="preserve">①自律尊重の原則（Autonomy）：患者の自己決定を尊重する</w:t>
      </w:r>
    </w:p>
    <w:p>
      <w:pPr>
        <w:pStyle w:val="ListParagraph"/>
        <w:numPr>
          <w:ilvl w:val="0"/>
          <w:numId w:val="1"/>
        </w:numPr>
        <w:spacing w:after="40" w:before="40"/>
      </w:pPr>
      <w:r>
        <w:rPr>
          <w:sz w:val="21"/>
          <w:szCs w:val="21"/>
        </w:rPr>
        <w:t xml:space="preserve">②善行の原則（Beneficence）：患者の最善の利益を追求する</w:t>
      </w:r>
    </w:p>
    <w:p>
      <w:pPr>
        <w:pStyle w:val="ListParagraph"/>
        <w:numPr>
          <w:ilvl w:val="0"/>
          <w:numId w:val="1"/>
        </w:numPr>
        <w:spacing w:after="40" w:before="40"/>
      </w:pPr>
      <w:r>
        <w:rPr>
          <w:sz w:val="21"/>
          <w:szCs w:val="21"/>
        </w:rPr>
        <w:t xml:space="preserve">③無危害の原則（Non-maleficence）：患者に害を与えない</w:t>
      </w:r>
    </w:p>
    <w:p>
      <w:pPr>
        <w:pStyle w:val="ListParagraph"/>
        <w:numPr>
          <w:ilvl w:val="0"/>
          <w:numId w:val="1"/>
        </w:numPr>
        <w:spacing w:after="40" w:before="40"/>
      </w:pPr>
      <w:r>
        <w:rPr>
          <w:sz w:val="21"/>
          <w:szCs w:val="21"/>
        </w:rPr>
        <w:t xml:space="preserve">④公正の原則（Justice）：医療資源を公平に配分する</w:t>
      </w:r>
    </w:p>
    <w:p>
      <w:pPr>
        <w:spacing w:after="100" w:before="100"/>
      </w:pPr>
      <w:r>
        <w:t xml:space="preserve"/>
      </w:r>
    </w:p>
    <w:p>
      <w:pPr>
        <w:pStyle w:val="Heading2"/>
        <w:spacing w:after="140" w:before="280"/>
      </w:pPr>
      <w:r>
        <w:rPr>
          <w:b/>
          <w:bCs/>
          <w:sz w:val="26"/>
          <w:szCs w:val="26"/>
        </w:rPr>
        <w:t xml:space="preserve">1.5 用語定義</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single" w:color="FFFFFF" w:sz="4"/>
              <w:left w:val="single" w:color="FFFFFF" w:sz="4"/>
              <w:bottom w:val="single" w:color="FFFFFF" w:sz="4"/>
              <w:right w:val="single" w:color="FFFFFF" w:sz="4"/>
            </w:tcBorders>
            <w:shd w:color="1e3333" w:val="solid"/>
            <w:tcMar>
              <w:top w:type="dxa" w:w="80"/>
              <w:left w:type="dxa" w:w="120"/>
              <w:bottom w:type="dxa" w:w="80"/>
              <w:right w:type="dxa" w:w="120"/>
            </w:tcMar>
            <w:vAlign w:val="center"/>
          </w:tcPr>
          <w:p>
            <w:pPr>
              <w:jc w:val="center"/>
            </w:pPr>
            <w:r>
              <w:rPr>
                <w:b/>
                <w:bCs/>
                <w:color w:val="FFFFFF"/>
                <w:sz w:val="21"/>
                <w:szCs w:val="21"/>
              </w:rPr>
              <w:t xml:space="preserve">用語</w:t>
            </w:r>
          </w:p>
        </w:tc>
        <w:tc>
          <w:tcPr>
            <w:tcBorders>
              <w:top w:val="single" w:color="FFFFFF" w:sz="4"/>
              <w:left w:val="single" w:color="FFFFFF" w:sz="4"/>
              <w:bottom w:val="single" w:color="FFFFFF" w:sz="4"/>
              <w:right w:val="single" w:color="FFFFFF" w:sz="4"/>
            </w:tcBorders>
            <w:shd w:color="1e3333" w:val="solid"/>
            <w:tcMar>
              <w:top w:type="dxa" w:w="80"/>
              <w:left w:type="dxa" w:w="120"/>
              <w:bottom w:type="dxa" w:w="80"/>
              <w:right w:type="dxa" w:w="120"/>
            </w:tcMar>
            <w:vAlign w:val="center"/>
          </w:tcPr>
          <w:p>
            <w:pPr>
              <w:jc w:val="center"/>
            </w:pPr>
            <w:r>
              <w:rPr>
                <w:b/>
                <w:bCs/>
                <w:color w:val="FFFFFF"/>
                <w:sz w:val="21"/>
                <w:szCs w:val="21"/>
              </w:rPr>
              <w:t xml:space="preserve">定義</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bCs/>
                <w:sz w:val="21"/>
                <w:szCs w:val="21"/>
              </w:rPr>
              <w:t xml:space="preserve">ACP</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Advance Care Planning。本人・家族・医療チームが繰り返し話し合うプロセス</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bCs/>
                <w:sz w:val="21"/>
                <w:szCs w:val="21"/>
              </w:rPr>
              <w:t xml:space="preserve">AD</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Advance Directive（事前指示）。文書による事前の意思表示</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bCs/>
                <w:sz w:val="21"/>
                <w:szCs w:val="21"/>
              </w:rPr>
              <w:t xml:space="preserve">代理意思決定者</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本人が意思表示できない場合に代わりに意思決定する人（家族等）</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bCs/>
                <w:sz w:val="21"/>
                <w:szCs w:val="21"/>
              </w:rPr>
              <w:t xml:space="preserve">DNAR</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Do Not Attempt Resuscitation。心肺蘇生不実施の指示</w:t>
            </w:r>
          </w:p>
        </w:tc>
      </w:tr>
    </w:tbl>
    <w:p>
      <w:r>
        <w:br w:type="page"/>
      </w:r>
    </w:p>
    <w:p>
      <w:pPr>
        <w:pStyle w:val="Heading1"/>
        <w:spacing w:after="200" w:before="360"/>
      </w:pPr>
      <w:r>
        <w:rPr>
          <w:b/>
          <w:bCs/>
          <w:sz w:val="32"/>
          <w:szCs w:val="32"/>
          <w:u w:val="single"/>
        </w:rPr>
        <w:t xml:space="preserve">第2章　診療報酬対応：意思決定支援指針の作成</w:t>
      </w:r>
    </w:p>
    <w:p>
      <w:pPr>
        <w:pStyle w:val="Heading2"/>
        <w:spacing w:after="140" w:before="280"/>
      </w:pPr>
      <w:r>
        <w:rPr>
          <w:b/>
          <w:bCs/>
          <w:sz w:val="26"/>
          <w:szCs w:val="26"/>
        </w:rPr>
        <w:t xml:space="preserve">2.1 令和6年度改定のポイント</w:t>
      </w:r>
    </w:p>
    <w:p>
      <w:pPr>
        <w:spacing w:after="60" w:before="60"/>
        <w:jc w:val="left"/>
      </w:pPr>
      <w:r>
        <w:rPr>
          <w:b w:val="false"/>
          <w:bCs w:val="false"/>
          <w:i w:val="false"/>
          <w:iCs w:val="false"/>
          <w:sz w:val="21"/>
          <w:szCs w:val="21"/>
        </w:rPr>
        <w:t xml:space="preserve">令和6年度診療報酬改定において、入院基本料等の施設基準として「意思決定支援に関する指針」の作成が通則要件として追加されました（2024年6月1日以降の新規届出から適用）。</w:t>
      </w:r>
    </w:p>
    <w:p>
      <w:pPr>
        <w:spacing w:after="100" w:before="100"/>
      </w:pPr>
      <w:r>
        <w:t xml:space="preserve"/>
      </w:r>
    </w:p>
    <w:p>
      <w:pPr>
        <w:pStyle w:val="Heading2"/>
        <w:spacing w:after="140" w:before="280"/>
      </w:pPr>
      <w:r>
        <w:rPr>
          <w:b/>
          <w:bCs/>
          <w:sz w:val="26"/>
          <w:szCs w:val="26"/>
        </w:rPr>
        <w:t xml:space="preserve">2.2 指針に盛り込むべき内容（必須9項目）</w:t>
      </w:r>
    </w:p>
    <w:p>
      <w:pPr>
        <w:spacing w:after="40" w:before="40"/>
        <w:ind w:left="360"/>
      </w:pPr>
      <w:r>
        <w:rPr>
          <w:sz w:val="21"/>
          <w:szCs w:val="21"/>
        </w:rPr>
        <w:t xml:space="preserve">. ① 指針の目的・基本的考え方</w:t>
      </w:r>
    </w:p>
    <w:p>
      <w:pPr>
        <w:spacing w:after="40" w:before="40"/>
        <w:ind w:left="360"/>
      </w:pPr>
      <w:r>
        <w:rPr>
          <w:sz w:val="21"/>
          <w:szCs w:val="21"/>
        </w:rPr>
        <w:t xml:space="preserve">. ② 対象患者</w:t>
      </w:r>
    </w:p>
    <w:p>
      <w:pPr>
        <w:spacing w:after="40" w:before="40"/>
        <w:ind w:left="360"/>
      </w:pPr>
      <w:r>
        <w:rPr>
          <w:sz w:val="21"/>
          <w:szCs w:val="21"/>
        </w:rPr>
        <w:t xml:space="preserve">. ③ 担当職種と役割分担</w:t>
      </w:r>
    </w:p>
    <w:p>
      <w:pPr>
        <w:spacing w:after="40" w:before="40"/>
        <w:ind w:left="360"/>
      </w:pPr>
      <w:r>
        <w:rPr>
          <w:sz w:val="21"/>
          <w:szCs w:val="21"/>
        </w:rPr>
        <w:t xml:space="preserve">. ④ ACPの実施方法・実施時期</w:t>
      </w:r>
    </w:p>
    <w:p>
      <w:pPr>
        <w:spacing w:after="40" w:before="40"/>
        <w:ind w:left="360"/>
      </w:pPr>
      <w:r>
        <w:rPr>
          <w:sz w:val="21"/>
          <w:szCs w:val="21"/>
        </w:rPr>
        <w:t xml:space="preserve">. ⑤ 意向の記録方法・記録場所</w:t>
      </w:r>
    </w:p>
    <w:p>
      <w:pPr>
        <w:spacing w:after="40" w:before="40"/>
        <w:ind w:left="360"/>
      </w:pPr>
      <w:r>
        <w:rPr>
          <w:sz w:val="21"/>
          <w:szCs w:val="21"/>
        </w:rPr>
        <w:t xml:space="preserve">. ⑥ 多職種間の情報共有方法</w:t>
      </w:r>
    </w:p>
    <w:p>
      <w:pPr>
        <w:spacing w:after="40" w:before="40"/>
        <w:ind w:left="360"/>
      </w:pPr>
      <w:r>
        <w:rPr>
          <w:sz w:val="21"/>
          <w:szCs w:val="21"/>
        </w:rPr>
        <w:t xml:space="preserve">. ⑦ 倫理的問題が生じた場合の対応</w:t>
      </w:r>
    </w:p>
    <w:p>
      <w:pPr>
        <w:spacing w:after="40" w:before="40"/>
        <w:ind w:left="360"/>
      </w:pPr>
      <w:r>
        <w:rPr>
          <w:sz w:val="21"/>
          <w:szCs w:val="21"/>
        </w:rPr>
        <w:t xml:space="preserve">. ⑧ 職員研修の実施</w:t>
      </w:r>
    </w:p>
    <w:p>
      <w:pPr>
        <w:spacing w:after="40" w:before="40"/>
        <w:ind w:left="360"/>
      </w:pPr>
      <w:r>
        <w:rPr>
          <w:sz w:val="21"/>
          <w:szCs w:val="21"/>
        </w:rPr>
        <w:t xml:space="preserve">. ⑨ 指針の定期的見直し方法</w:t>
      </w:r>
    </w:p>
    <w:p>
      <w:r>
        <w:br w:type="page"/>
      </w:r>
    </w:p>
    <w:p>
      <w:pPr>
        <w:pStyle w:val="Heading1"/>
        <w:spacing w:after="200" w:before="360"/>
      </w:pPr>
      <w:r>
        <w:rPr>
          <w:b/>
          <w:bCs/>
          <w:sz w:val="32"/>
          <w:szCs w:val="32"/>
          <w:u w:val="single"/>
        </w:rPr>
        <w:t xml:space="preserve">第3章　ACP対話の進め方</w:t>
      </w:r>
    </w:p>
    <w:p>
      <w:pPr>
        <w:pStyle w:val="Heading2"/>
        <w:spacing w:after="140" w:before="280"/>
      </w:pPr>
      <w:r>
        <w:rPr>
          <w:b/>
          <w:bCs/>
          <w:sz w:val="26"/>
          <w:szCs w:val="26"/>
        </w:rPr>
        <w:t xml:space="preserve">3.1 4つの段階</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Borders>
              <w:top w:val="single" w:color="FFFFFF" w:sz="4"/>
              <w:left w:val="single" w:color="FFFFFF" w:sz="4"/>
              <w:bottom w:val="single" w:color="FFFFFF" w:sz="4"/>
              <w:right w:val="single" w:color="FFFFFF" w:sz="4"/>
            </w:tcBorders>
            <w:shd w:color="1e3333" w:val="solid"/>
            <w:tcMar>
              <w:top w:type="dxa" w:w="80"/>
              <w:left w:type="dxa" w:w="120"/>
              <w:bottom w:type="dxa" w:w="80"/>
              <w:right w:type="dxa" w:w="120"/>
            </w:tcMar>
            <w:vAlign w:val="center"/>
          </w:tcPr>
          <w:p>
            <w:pPr>
              <w:jc w:val="center"/>
            </w:pPr>
            <w:r>
              <w:rPr>
                <w:b/>
                <w:bCs/>
                <w:color w:val="FFFFFF"/>
                <w:sz w:val="21"/>
                <w:szCs w:val="21"/>
              </w:rPr>
              <w:t xml:space="preserve">段階</w:t>
            </w:r>
          </w:p>
        </w:tc>
        <w:tc>
          <w:tcPr>
            <w:tcBorders>
              <w:top w:val="single" w:color="FFFFFF" w:sz="4"/>
              <w:left w:val="single" w:color="FFFFFF" w:sz="4"/>
              <w:bottom w:val="single" w:color="FFFFFF" w:sz="4"/>
              <w:right w:val="single" w:color="FFFFFF" w:sz="4"/>
            </w:tcBorders>
            <w:shd w:color="1e3333" w:val="solid"/>
            <w:tcMar>
              <w:top w:type="dxa" w:w="80"/>
              <w:left w:type="dxa" w:w="120"/>
              <w:bottom w:type="dxa" w:w="80"/>
              <w:right w:type="dxa" w:w="120"/>
            </w:tcMar>
            <w:vAlign w:val="center"/>
          </w:tcPr>
          <w:p>
            <w:pPr>
              <w:jc w:val="center"/>
            </w:pPr>
            <w:r>
              <w:rPr>
                <w:b/>
                <w:bCs/>
                <w:color w:val="FFFFFF"/>
                <w:sz w:val="21"/>
                <w:szCs w:val="21"/>
              </w:rPr>
              <w:t xml:space="preserve">タイミング</w:t>
            </w:r>
          </w:p>
        </w:tc>
        <w:tc>
          <w:tcPr>
            <w:tcBorders>
              <w:top w:val="single" w:color="FFFFFF" w:sz="4"/>
              <w:left w:val="single" w:color="FFFFFF" w:sz="4"/>
              <w:bottom w:val="single" w:color="FFFFFF" w:sz="4"/>
              <w:right w:val="single" w:color="FFFFFF" w:sz="4"/>
            </w:tcBorders>
            <w:shd w:color="1e3333" w:val="solid"/>
            <w:tcMar>
              <w:top w:type="dxa" w:w="80"/>
              <w:left w:type="dxa" w:w="120"/>
              <w:bottom w:type="dxa" w:w="80"/>
              <w:right w:type="dxa" w:w="120"/>
            </w:tcMar>
            <w:vAlign w:val="center"/>
          </w:tcPr>
          <w:p>
            <w:pPr>
              <w:jc w:val="center"/>
            </w:pPr>
            <w:r>
              <w:rPr>
                <w:b/>
                <w:bCs/>
                <w:color w:val="FFFFFF"/>
                <w:sz w:val="21"/>
                <w:szCs w:val="21"/>
              </w:rPr>
              <w:t xml:space="preserve">実施内容</w:t>
            </w:r>
          </w:p>
        </w:tc>
        <w:tc>
          <w:tcPr>
            <w:tcBorders>
              <w:top w:val="single" w:color="FFFFFF" w:sz="4"/>
              <w:left w:val="single" w:color="FFFFFF" w:sz="4"/>
              <w:bottom w:val="single" w:color="FFFFFF" w:sz="4"/>
              <w:right w:val="single" w:color="FFFFFF" w:sz="4"/>
            </w:tcBorders>
            <w:shd w:color="1e3333" w:val="solid"/>
            <w:tcMar>
              <w:top w:type="dxa" w:w="80"/>
              <w:left w:type="dxa" w:w="120"/>
              <w:bottom w:type="dxa" w:w="80"/>
              <w:right w:type="dxa" w:w="120"/>
            </w:tcMar>
            <w:vAlign w:val="center"/>
          </w:tcPr>
          <w:p>
            <w:pPr>
              <w:jc w:val="center"/>
            </w:pPr>
            <w:r>
              <w:rPr>
                <w:b/>
                <w:bCs/>
                <w:color w:val="FFFFFF"/>
                <w:sz w:val="21"/>
                <w:szCs w:val="21"/>
              </w:rPr>
              <w:t xml:space="preserve">主担当</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bCs/>
                <w:sz w:val="21"/>
                <w:szCs w:val="21"/>
              </w:rPr>
              <w:t xml:space="preserve">第1段階</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入院時</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ACPシートの配布・説明、基本情報の確認</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看護師</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bCs/>
                <w:sz w:val="21"/>
                <w:szCs w:val="21"/>
              </w:rPr>
              <w:t xml:space="preserve">第2段階</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入院後3日以内</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本人・家族との意向確認面談</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医師・看護師・MSW</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bCs/>
                <w:sz w:val="21"/>
                <w:szCs w:val="21"/>
              </w:rPr>
              <w:t xml:space="preserve">第3段階</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定期見直し時</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意向の再確認・文書更新</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多職種チーム</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bCs/>
                <w:sz w:val="21"/>
                <w:szCs w:val="21"/>
              </w:rPr>
              <w:t xml:space="preserve">第4段階</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状態悪化時</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緊急カンファレンス・方針決定</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医師・多職種チーム</w:t>
            </w:r>
          </w:p>
        </w:tc>
      </w:tr>
    </w:tbl>
    <w:p>
      <w:pPr>
        <w:spacing w:after="100" w:before="100"/>
      </w:pPr>
      <w:r>
        <w:t xml:space="preserve"/>
      </w:r>
    </w:p>
    <w:p>
      <w:pPr>
        <w:pStyle w:val="Heading2"/>
        <w:spacing w:after="140" w:before="280"/>
      </w:pPr>
      <w:r>
        <w:rPr>
          <w:b/>
          <w:bCs/>
          <w:sz w:val="26"/>
          <w:szCs w:val="26"/>
        </w:rPr>
        <w:t xml:space="preserve">3.2 場面別スクリプト例</w:t>
      </w:r>
    </w:p>
    <w:p>
      <w:pPr>
        <w:pStyle w:val="Heading3"/>
        <w:spacing w:after="100" w:before="200"/>
      </w:pPr>
      <w:r>
        <w:rPr>
          <w:b/>
          <w:bCs/>
          <w:sz w:val="22"/>
          <w:szCs w:val="22"/>
        </w:rPr>
        <w:t xml:space="preserve">入院時の声かけ例</w:t>
      </w:r>
    </w:p>
    <w:p>
      <w:pPr>
        <w:spacing w:after="60" w:before="60"/>
        <w:jc w:val="left"/>
      </w:pPr>
      <w:r>
        <w:rPr>
          <w:b w:val="false"/>
          <w:bCs w:val="false"/>
          <w:i w:val="false"/>
          <w:iCs w:val="false"/>
          <w:sz w:val="21"/>
          <w:szCs w:val="21"/>
        </w:rPr>
        <w:t xml:space="preserve">「入院おめでとうございます。…（省略）…今後の治療についてご本人の希望をぜひ聞かせてください。このシートに記入していただけますか？」</w:t>
      </w:r>
    </w:p>
    <w:p>
      <w:pPr>
        <w:spacing w:after="100" w:before="100"/>
      </w:pPr>
      <w:r>
        <w:t xml:space="preserve"/>
      </w:r>
    </w:p>
    <w:p>
      <w:pPr>
        <w:pStyle w:val="Heading2"/>
        <w:spacing w:after="140" w:before="280"/>
      </w:pPr>
      <w:r>
        <w:rPr>
          <w:b/>
          <w:bCs/>
          <w:sz w:val="26"/>
          <w:szCs w:val="26"/>
        </w:rPr>
        <w:t xml:space="preserve">3.3 意思確認のフロー</w:t>
      </w:r>
    </w:p>
    <w:p>
      <w:pPr>
        <w:pStyle w:val="ListParagraph"/>
        <w:numPr>
          <w:ilvl w:val="0"/>
          <w:numId w:val="1"/>
        </w:numPr>
        <w:spacing w:after="40" w:before="40"/>
      </w:pPr>
      <w:r>
        <w:rPr>
          <w:sz w:val="21"/>
          <w:szCs w:val="21"/>
        </w:rPr>
        <w:t xml:space="preserve">STEP1: 本人の意思能力を確認する</w:t>
      </w:r>
    </w:p>
    <w:p>
      <w:pPr>
        <w:pStyle w:val="ListParagraph"/>
        <w:numPr>
          <w:ilvl w:val="0"/>
          <w:numId w:val="1"/>
        </w:numPr>
        <w:spacing w:after="40" w:before="40"/>
      </w:pPr>
      <w:r>
        <w:rPr>
          <w:sz w:val="21"/>
          <w:szCs w:val="21"/>
        </w:rPr>
        <w:t xml:space="preserve">STEP2: 十分な情報を提供する（病状・治療選択肢・予後）</w:t>
      </w:r>
    </w:p>
    <w:p>
      <w:pPr>
        <w:pStyle w:val="ListParagraph"/>
        <w:numPr>
          <w:ilvl w:val="0"/>
          <w:numId w:val="1"/>
        </w:numPr>
        <w:spacing w:after="40" w:before="40"/>
      </w:pPr>
      <w:r>
        <w:rPr>
          <w:sz w:val="21"/>
          <w:szCs w:val="21"/>
        </w:rPr>
        <w:t xml:space="preserve">STEP3: 本人の価値観・意向を聴取する</w:t>
      </w:r>
    </w:p>
    <w:p>
      <w:pPr>
        <w:pStyle w:val="ListParagraph"/>
        <w:numPr>
          <w:ilvl w:val="0"/>
          <w:numId w:val="1"/>
        </w:numPr>
        <w:spacing w:after="40" w:before="40"/>
      </w:pPr>
      <w:r>
        <w:rPr>
          <w:sz w:val="21"/>
          <w:szCs w:val="21"/>
        </w:rPr>
        <w:t xml:space="preserve">STEP4: 話し合いの内容を文書に記録する</w:t>
      </w:r>
    </w:p>
    <w:p>
      <w:pPr>
        <w:pStyle w:val="ListParagraph"/>
        <w:numPr>
          <w:ilvl w:val="0"/>
          <w:numId w:val="1"/>
        </w:numPr>
        <w:spacing w:after="40" w:before="40"/>
      </w:pPr>
      <w:r>
        <w:rPr>
          <w:sz w:val="21"/>
          <w:szCs w:val="21"/>
        </w:rPr>
        <w:t xml:space="preserve">STEP5: 定期的に見直しを行う</w:t>
      </w:r>
    </w:p>
    <w:p>
      <w:r>
        <w:br w:type="page"/>
      </w:r>
    </w:p>
    <w:p>
      <w:pPr>
        <w:pStyle w:val="Heading1"/>
        <w:spacing w:after="200" w:before="360"/>
      </w:pPr>
      <w:r>
        <w:rPr>
          <w:b/>
          <w:bCs/>
          <w:sz w:val="32"/>
          <w:szCs w:val="32"/>
          <w:u w:val="single"/>
        </w:rPr>
        <w:t xml:space="preserve">第4章　職種別ガイド</w:t>
      </w:r>
    </w:p>
    <w:p>
      <w:pPr>
        <w:pStyle w:val="Heading2"/>
        <w:spacing w:after="140" w:before="280"/>
      </w:pPr>
      <w:r>
        <w:rPr>
          <w:b/>
          <w:bCs/>
          <w:sz w:val="26"/>
          <w:szCs w:val="26"/>
        </w:rPr>
        <w:t xml:space="preserve">4.1 医師の役割</w:t>
      </w:r>
    </w:p>
    <w:p>
      <w:pPr>
        <w:spacing w:after="60" w:before="60"/>
        <w:jc w:val="left"/>
      </w:pPr>
      <w:r>
        <w:rPr>
          <w:b w:val="false"/>
          <w:bCs w:val="false"/>
          <w:i w:val="false"/>
          <w:iCs w:val="false"/>
          <w:sz w:val="21"/>
          <w:szCs w:val="21"/>
        </w:rPr>
        <w:t xml:space="preserve">治療選択肢・予後の説明を行い、本人の意思決定を支援する。カンファレンスの招集・最終的な方針決定に関与する。</w:t>
      </w:r>
    </w:p>
    <w:p>
      <w:pPr>
        <w:spacing w:after="100" w:before="100"/>
      </w:pPr>
      <w:r>
        <w:t xml:space="preserve"/>
      </w:r>
    </w:p>
    <w:p>
      <w:pPr>
        <w:pStyle w:val="Heading2"/>
        <w:spacing w:after="140" w:before="280"/>
      </w:pPr>
      <w:r>
        <w:rPr>
          <w:b/>
          <w:bCs/>
          <w:sz w:val="26"/>
          <w:szCs w:val="26"/>
        </w:rPr>
        <w:t xml:space="preserve">4.2 看護師の役割</w:t>
      </w:r>
    </w:p>
    <w:p>
      <w:pPr>
        <w:spacing w:after="60" w:before="60"/>
        <w:jc w:val="left"/>
      </w:pPr>
      <w:r>
        <w:rPr>
          <w:b w:val="false"/>
          <w:bCs w:val="false"/>
          <w:i w:val="false"/>
          <w:iCs w:val="false"/>
          <w:sz w:val="21"/>
          <w:szCs w:val="21"/>
        </w:rPr>
        <w:t xml:space="preserve">入院時のACPシート配布・説明を担当し、日常的な対話を通じて意向の変化を把握する。記録作成・多職種への情報共有を担う。</w:t>
      </w:r>
    </w:p>
    <w:p>
      <w:pPr>
        <w:spacing w:after="100" w:before="100"/>
      </w:pPr>
      <w:r>
        <w:t xml:space="preserve"/>
      </w:r>
    </w:p>
    <w:p>
      <w:pPr>
        <w:pStyle w:val="Heading2"/>
        <w:spacing w:after="140" w:before="280"/>
      </w:pPr>
      <w:r>
        <w:rPr>
          <w:b/>
          <w:bCs/>
          <w:sz w:val="26"/>
          <w:szCs w:val="26"/>
        </w:rPr>
        <w:t xml:space="preserve">4.3 MSW（医療ソーシャルワーカー）の役割</w:t>
      </w:r>
    </w:p>
    <w:p>
      <w:pPr>
        <w:spacing w:after="60" w:before="60"/>
        <w:jc w:val="left"/>
      </w:pPr>
      <w:r>
        <w:rPr>
          <w:b w:val="false"/>
          <w:bCs w:val="false"/>
          <w:i w:val="false"/>
          <w:iCs w:val="false"/>
          <w:sz w:val="21"/>
          <w:szCs w:val="21"/>
        </w:rPr>
        <w:t xml:space="preserve">家族等との調整役を担い、退院後の療養環境や社会資源についての情報提供を行う。意思決定困難な場面での倫理コンサルテーションを調整する。</w:t>
      </w:r>
    </w:p>
    <w:p>
      <w:pPr>
        <w:spacing w:after="100" w:before="100"/>
      </w:pPr>
      <w:r>
        <w:t xml:space="preserve"/>
      </w:r>
    </w:p>
    <w:p>
      <w:pPr>
        <w:pStyle w:val="Heading2"/>
        <w:spacing w:after="140" w:before="280"/>
      </w:pPr>
      <w:r>
        <w:rPr>
          <w:b/>
          <w:bCs/>
          <w:sz w:val="26"/>
          <w:szCs w:val="26"/>
        </w:rPr>
        <w:t xml:space="preserve">4.4 薬剤師の役割</w:t>
      </w:r>
    </w:p>
    <w:p>
      <w:pPr>
        <w:spacing w:after="60" w:before="60"/>
        <w:jc w:val="left"/>
      </w:pPr>
      <w:r>
        <w:rPr>
          <w:b w:val="false"/>
          <w:bCs w:val="false"/>
          <w:i w:val="false"/>
          <w:iCs w:val="false"/>
          <w:sz w:val="21"/>
          <w:szCs w:val="21"/>
        </w:rPr>
        <w:t xml:space="preserve">薬物療法に関する情報提供を行い、終末期の緩和薬療法についての相談を受ける。</w:t>
      </w:r>
    </w:p>
    <w:p>
      <w:pPr>
        <w:spacing w:after="100" w:before="100"/>
      </w:pPr>
      <w:r>
        <w:t xml:space="preserve"/>
      </w:r>
    </w:p>
    <w:p>
      <w:pPr>
        <w:pStyle w:val="Heading2"/>
        <w:spacing w:after="140" w:before="280"/>
      </w:pPr>
      <w:r>
        <w:rPr>
          <w:b/>
          <w:bCs/>
          <w:sz w:val="26"/>
          <w:szCs w:val="26"/>
        </w:rPr>
        <w:t xml:space="preserve">4.5 管理栄養士の役割</w:t>
      </w:r>
    </w:p>
    <w:p>
      <w:pPr>
        <w:spacing w:after="60" w:before="60"/>
        <w:jc w:val="left"/>
      </w:pPr>
      <w:r>
        <w:rPr>
          <w:b w:val="false"/>
          <w:bCs w:val="false"/>
          <w:i w:val="false"/>
          <w:iCs w:val="false"/>
          <w:sz w:val="21"/>
          <w:szCs w:val="21"/>
        </w:rPr>
        <w:t xml:space="preserve">経管栄養・経口摂取の移行に関する意向確認を行い、栄養面からの意思決定支援を担う。</w:t>
      </w:r>
    </w:p>
    <w:p>
      <w:r>
        <w:br w:type="page"/>
      </w:r>
    </w:p>
    <w:p>
      <w:pPr>
        <w:pStyle w:val="Heading1"/>
        <w:spacing w:after="200" w:before="360"/>
      </w:pPr>
      <w:r>
        <w:rPr>
          <w:b/>
          <w:bCs/>
          <w:sz w:val="32"/>
          <w:szCs w:val="32"/>
          <w:u w:val="single"/>
        </w:rPr>
        <w:t xml:space="preserve">第5章　院内研修プログラム</w:t>
      </w:r>
    </w:p>
    <w:p>
      <w:pPr>
        <w:pStyle w:val="Heading2"/>
        <w:spacing w:after="140" w:before="280"/>
      </w:pPr>
      <w:r>
        <w:rPr>
          <w:b/>
          <w:bCs/>
          <w:sz w:val="26"/>
          <w:szCs w:val="26"/>
        </w:rPr>
        <w:t xml:space="preserve">5.1 基本研修（全職員対象・年1回）</w:t>
      </w:r>
    </w:p>
    <w:p>
      <w:pPr>
        <w:pStyle w:val="ListParagraph"/>
        <w:numPr>
          <w:ilvl w:val="0"/>
          <w:numId w:val="1"/>
        </w:numPr>
        <w:spacing w:after="40" w:before="40"/>
      </w:pPr>
      <w:r>
        <w:rPr>
          <w:sz w:val="21"/>
          <w:szCs w:val="21"/>
        </w:rPr>
        <w:t xml:space="preserve">講義：ACPとは何か（30分）</w:t>
      </w:r>
    </w:p>
    <w:p>
      <w:pPr>
        <w:pStyle w:val="ListParagraph"/>
        <w:numPr>
          <w:ilvl w:val="0"/>
          <w:numId w:val="1"/>
        </w:numPr>
        <w:spacing w:after="40" w:before="40"/>
      </w:pPr>
      <w:r>
        <w:rPr>
          <w:sz w:val="21"/>
          <w:szCs w:val="21"/>
        </w:rPr>
        <w:t xml:space="preserve">グループワーク：事例検討（60分）</w:t>
      </w:r>
    </w:p>
    <w:p>
      <w:pPr>
        <w:pStyle w:val="ListParagraph"/>
        <w:numPr>
          <w:ilvl w:val="0"/>
          <w:numId w:val="1"/>
        </w:numPr>
        <w:spacing w:after="40" w:before="40"/>
      </w:pPr>
      <w:r>
        <w:rPr>
          <w:sz w:val="21"/>
          <w:szCs w:val="21"/>
        </w:rPr>
        <w:t xml:space="preserve">ロールプレイ：対話の練習（30分）</w:t>
      </w:r>
    </w:p>
    <w:p>
      <w:pPr>
        <w:spacing w:after="100" w:before="100"/>
      </w:pPr>
      <w:r>
        <w:t xml:space="preserve"/>
      </w:r>
    </w:p>
    <w:p>
      <w:pPr>
        <w:pStyle w:val="Heading2"/>
        <w:spacing w:after="140" w:before="280"/>
      </w:pPr>
      <w:r>
        <w:rPr>
          <w:b/>
          <w:bCs/>
          <w:sz w:val="26"/>
          <w:szCs w:val="26"/>
        </w:rPr>
        <w:t xml:space="preserve">5.2 上級研修（リーダー層対象・随時）</w:t>
      </w:r>
    </w:p>
    <w:p>
      <w:pPr>
        <w:pStyle w:val="ListParagraph"/>
        <w:numPr>
          <w:ilvl w:val="0"/>
          <w:numId w:val="1"/>
        </w:numPr>
        <w:spacing w:after="40" w:before="40"/>
      </w:pPr>
      <w:r>
        <w:rPr>
          <w:sz w:val="21"/>
          <w:szCs w:val="21"/>
        </w:rPr>
        <w:t xml:space="preserve">困難事例の検討（倫理的問題・合意形成困難例）</w:t>
      </w:r>
    </w:p>
    <w:p>
      <w:pPr>
        <w:pStyle w:val="ListParagraph"/>
        <w:numPr>
          <w:ilvl w:val="0"/>
          <w:numId w:val="1"/>
        </w:numPr>
        <w:spacing w:after="40" w:before="40"/>
      </w:pPr>
      <w:r>
        <w:rPr>
          <w:sz w:val="21"/>
          <w:szCs w:val="21"/>
        </w:rPr>
        <w:t xml:space="preserve">ファシリテーションスキルトレーニング</w:t>
      </w:r>
    </w:p>
    <w:p>
      <w:pPr>
        <w:pStyle w:val="ListParagraph"/>
        <w:numPr>
          <w:ilvl w:val="0"/>
          <w:numId w:val="1"/>
        </w:numPr>
        <w:spacing w:after="40" w:before="40"/>
      </w:pPr>
      <w:r>
        <w:rPr>
          <w:sz w:val="21"/>
          <w:szCs w:val="21"/>
        </w:rPr>
        <w:t xml:space="preserve">他施設との事例共有</w:t>
      </w:r>
    </w:p>
    <w:p>
      <w:r>
        <w:br w:type="page"/>
      </w:r>
    </w:p>
    <w:p>
      <w:pPr>
        <w:pStyle w:val="Heading1"/>
        <w:spacing w:after="200" w:before="360"/>
      </w:pPr>
      <w:r>
        <w:rPr>
          <w:b/>
          <w:bCs/>
          <w:sz w:val="32"/>
          <w:szCs w:val="32"/>
          <w:u w:val="single"/>
        </w:rPr>
        <w:t xml:space="preserve">第6章　運用と定着</w:t>
      </w:r>
    </w:p>
    <w:p>
      <w:pPr>
        <w:pStyle w:val="Heading2"/>
        <w:spacing w:after="140" w:before="280"/>
      </w:pPr>
      <w:r>
        <w:rPr>
          <w:b/>
          <w:bCs/>
          <w:sz w:val="26"/>
          <w:szCs w:val="26"/>
        </w:rPr>
        <w:t xml:space="preserve">6.1 PDCAサイクルの実践</w:t>
      </w:r>
    </w:p>
    <w:p>
      <w:pPr>
        <w:pStyle w:val="ListParagraph"/>
        <w:numPr>
          <w:ilvl w:val="0"/>
          <w:numId w:val="1"/>
        </w:numPr>
        <w:spacing w:after="40" w:before="40"/>
      </w:pPr>
      <w:r>
        <w:rPr>
          <w:sz w:val="21"/>
          <w:szCs w:val="21"/>
        </w:rPr>
        <w:t xml:space="preserve">Plan：指針・手順の整備</w:t>
      </w:r>
    </w:p>
    <w:p>
      <w:pPr>
        <w:pStyle w:val="ListParagraph"/>
        <w:numPr>
          <w:ilvl w:val="0"/>
          <w:numId w:val="1"/>
        </w:numPr>
        <w:spacing w:after="40" w:before="40"/>
      </w:pPr>
      <w:r>
        <w:rPr>
          <w:sz w:val="21"/>
          <w:szCs w:val="21"/>
        </w:rPr>
        <w:t xml:space="preserve">Do：ACP実施・記録</w:t>
      </w:r>
    </w:p>
    <w:p>
      <w:pPr>
        <w:pStyle w:val="ListParagraph"/>
        <w:numPr>
          <w:ilvl w:val="0"/>
          <w:numId w:val="1"/>
        </w:numPr>
        <w:spacing w:after="40" w:before="40"/>
      </w:pPr>
      <w:r>
        <w:rPr>
          <w:sz w:val="21"/>
          <w:szCs w:val="21"/>
        </w:rPr>
        <w:t xml:space="preserve">Check：実施件数・患者満足度の評価</w:t>
      </w:r>
    </w:p>
    <w:p>
      <w:pPr>
        <w:pStyle w:val="ListParagraph"/>
        <w:numPr>
          <w:ilvl w:val="0"/>
          <w:numId w:val="1"/>
        </w:numPr>
        <w:spacing w:after="40" w:before="40"/>
      </w:pPr>
      <w:r>
        <w:rPr>
          <w:sz w:val="21"/>
          <w:szCs w:val="21"/>
        </w:rPr>
        <w:t xml:space="preserve">Act：改善策の検討・指針見直し</w:t>
      </w:r>
    </w:p>
    <w:p>
      <w:pPr>
        <w:spacing w:after="100" w:before="100"/>
      </w:pPr>
      <w:r>
        <w:t xml:space="preserve"/>
      </w:r>
    </w:p>
    <w:p>
      <w:pPr>
        <w:pStyle w:val="Heading2"/>
        <w:spacing w:after="140" w:before="280"/>
      </w:pPr>
      <w:r>
        <w:rPr>
          <w:b/>
          <w:bCs/>
          <w:sz w:val="26"/>
          <w:szCs w:val="26"/>
        </w:rPr>
        <w:t xml:space="preserve">6.2 よくある課題と対策</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single" w:color="FFFFFF" w:sz="4"/>
              <w:left w:val="single" w:color="FFFFFF" w:sz="4"/>
              <w:bottom w:val="single" w:color="FFFFFF" w:sz="4"/>
              <w:right w:val="single" w:color="FFFFFF" w:sz="4"/>
            </w:tcBorders>
            <w:shd w:color="1e3333" w:val="solid"/>
            <w:tcMar>
              <w:top w:type="dxa" w:w="80"/>
              <w:left w:type="dxa" w:w="120"/>
              <w:bottom w:type="dxa" w:w="80"/>
              <w:right w:type="dxa" w:w="120"/>
            </w:tcMar>
            <w:vAlign w:val="center"/>
          </w:tcPr>
          <w:p>
            <w:pPr>
              <w:jc w:val="center"/>
            </w:pPr>
            <w:r>
              <w:rPr>
                <w:b/>
                <w:bCs/>
                <w:color w:val="FFFFFF"/>
                <w:sz w:val="21"/>
                <w:szCs w:val="21"/>
              </w:rPr>
              <w:t xml:space="preserve">課題</w:t>
            </w:r>
          </w:p>
        </w:tc>
        <w:tc>
          <w:tcPr>
            <w:tcBorders>
              <w:top w:val="single" w:color="FFFFFF" w:sz="4"/>
              <w:left w:val="single" w:color="FFFFFF" w:sz="4"/>
              <w:bottom w:val="single" w:color="FFFFFF" w:sz="4"/>
              <w:right w:val="single" w:color="FFFFFF" w:sz="4"/>
            </w:tcBorders>
            <w:shd w:color="1e3333" w:val="solid"/>
            <w:tcMar>
              <w:top w:type="dxa" w:w="80"/>
              <w:left w:type="dxa" w:w="120"/>
              <w:bottom w:type="dxa" w:w="80"/>
              <w:right w:type="dxa" w:w="120"/>
            </w:tcMar>
            <w:vAlign w:val="center"/>
          </w:tcPr>
          <w:p>
            <w:pPr>
              <w:jc w:val="center"/>
            </w:pPr>
            <w:r>
              <w:rPr>
                <w:b/>
                <w:bCs/>
                <w:color w:val="FFFFFF"/>
                <w:sz w:val="21"/>
                <w:szCs w:val="21"/>
              </w:rPr>
              <w:t xml:space="preserve">対策</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職員が対話を始めにくい</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スクリプト・ロールプレイで練習機会を確保する</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記録が徹底されない</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電子カルテへの記録テンプレートを整備する</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多職種の連携不足</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定期カンファレンスで共有する機会を設ける</w:t>
            </w:r>
          </w:p>
        </w:tc>
      </w:tr>
    </w:tbl>
    <w:p>
      <w:r>
        <w:br w:type="page"/>
      </w:r>
    </w:p>
    <w:p>
      <w:pPr>
        <w:pStyle w:val="Heading1"/>
        <w:spacing w:after="200" w:before="360"/>
      </w:pPr>
      <w:r>
        <w:rPr>
          <w:b/>
          <w:bCs/>
          <w:sz w:val="32"/>
          <w:szCs w:val="32"/>
          <w:u w:val="single"/>
        </w:rPr>
        <w:t xml:space="preserve">参考文献</w:t>
      </w:r>
    </w:p>
    <w:p>
      <w:pPr>
        <w:spacing w:after="60" w:before="60"/>
        <w:jc w:val="left"/>
      </w:pPr>
      <w:r>
        <w:rPr>
          <w:b w:val="false"/>
          <w:bCs w:val="false"/>
          <w:i w:val="false"/>
          <w:iCs w:val="false"/>
          <w:sz w:val="21"/>
          <w:szCs w:val="21"/>
        </w:rPr>
        <w:t xml:space="preserve">厚生労働省「人生の最終段階における医療・ケアの決定プロセスに関するガイドライン」2018年3月</w:t>
      </w:r>
    </w:p>
    <w:p>
      <w:pPr>
        <w:spacing w:after="60" w:before="60"/>
        <w:jc w:val="left"/>
      </w:pPr>
      <w:r>
        <w:rPr>
          <w:b w:val="false"/>
          <w:bCs w:val="false"/>
          <w:i w:val="false"/>
          <w:iCs w:val="false"/>
          <w:sz w:val="21"/>
          <w:szCs w:val="21"/>
        </w:rPr>
        <w:t xml:space="preserve">厚生労働省「令和6年度診療報酬改定の概要」2024年</w:t>
      </w:r>
    </w:p>
    <w:p>
      <w:pPr>
        <w:spacing w:after="60" w:before="60"/>
        <w:jc w:val="left"/>
      </w:pPr>
      <w:r>
        <w:rPr>
          <w:b w:val="false"/>
          <w:bCs w:val="false"/>
          <w:i w:val="false"/>
          <w:iCs w:val="false"/>
          <w:sz w:val="21"/>
          <w:szCs w:val="21"/>
        </w:rPr>
        <w:t xml:space="preserve">日本医師会「ACP推進に関する提言」2019年</w:t>
      </w:r>
    </w:p>
    <w:p>
      <w:pPr>
        <w:spacing w:after="60" w:before="60"/>
        <w:jc w:val="left"/>
      </w:pPr>
      <w:r>
        <w:rPr>
          <w:b w:val="false"/>
          <w:bCs w:val="false"/>
          <w:i w:val="false"/>
          <w:iCs w:val="false"/>
          <w:sz w:val="21"/>
          <w:szCs w:val="21"/>
        </w:rPr>
        <w:t xml:space="preserve">厚生労働省「認知症の人の日常生活・社会生活における意思決定支援ガイドライン」2018年</w:t>
      </w:r>
    </w:p>
    <w:sectPr>
      <w:pgSz w:w="11906" w:h="16838" w:orient="portrait"/>
      <w:pgMar w:top="1800" w:right="1400" w:bottom="1800" w:left="14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2026-04-06T01:02:18.662Z</dcterms:created>
  <dcterms:modified xsi:type="dcterms:W3CDTF">2026-04-06T01:02:18.662Z</dcterms:modified>
</cp:coreProperties>
</file>

<file path=docProps/custom.xml><?xml version="1.0" encoding="utf-8"?>
<Properties xmlns="http://schemas.openxmlformats.org/officeDocument/2006/custom-properties" xmlns:vt="http://schemas.openxmlformats.org/officeDocument/2006/docPropsVTypes"/>
</file>