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00"/>
      </w:pPr>
      <w:r>
        <w:t xml:space="preserve"/>
      </w:r>
    </w:p>
    <w:p>
      <w:pPr>
        <w:spacing w:after="100" w:before="100"/>
      </w:pPr>
      <w:r>
        <w:t xml:space="preserve"/>
      </w:r>
    </w:p>
    <w:p>
      <w:pPr>
        <w:spacing w:after="100" w:before="100"/>
      </w:pPr>
      <w:r>
        <w:t xml:space="preserve"/>
      </w:r>
    </w:p>
    <w:p>
      <w:pPr>
        <w:spacing w:after="100" w:before="200"/>
        <w:jc w:val="center"/>
      </w:pPr>
      <w:r>
        <w:rPr>
          <w:b/>
          <w:bCs/>
          <w:sz w:val="52"/>
          <w:szCs w:val="52"/>
        </w:rPr>
        <w:t xml:space="preserve">介護施設向けACP（アドバンス・ケア・プランニング）</w:t>
      </w:r>
    </w:p>
    <w:p>
      <w:pPr>
        <w:spacing w:after="200" w:before="0"/>
        <w:jc w:val="center"/>
      </w:pPr>
      <w:r>
        <w:rPr>
          <w:b/>
          <w:bCs/>
          <w:sz w:val="52"/>
          <w:szCs w:val="52"/>
        </w:rPr>
        <w:t xml:space="preserve">人生会議 実践マニュアル</w:t>
      </w:r>
    </w:p>
    <w:p>
      <w:pPr>
        <w:spacing w:after="100" w:before="0"/>
        <w:jc w:val="center"/>
      </w:pPr>
      <w:r>
        <w:rPr>
          <w:color w:val="555555"/>
          <w:sz w:val="28"/>
          <w:szCs w:val="28"/>
        </w:rPr>
        <w:t xml:space="preserve">特別養護老人ホーム・老健・グループホーム 対応</w:t>
      </w:r>
    </w:p>
    <w:p>
      <w:pPr>
        <w:spacing w:after="800" w:before="0"/>
        <w:jc w:val="center"/>
      </w:pPr>
      <w:r>
        <w:rPr>
          <w:b w:val="false"/>
          <w:bCs w:val="false"/>
          <w:color w:val="1a6b5a"/>
          <w:sz w:val="28"/>
          <w:szCs w:val="28"/>
        </w:rPr>
        <w:t xml:space="preserve">看取り介護加算・介護報酬改定対応版</w:t>
      </w:r>
    </w:p>
    <w:p>
      <w:pPr>
        <w:spacing w:after="100" w:before="100"/>
      </w:pPr>
      <w:r>
        <w:t xml:space="preserve"/>
      </w:r>
    </w:p>
    <w:p>
      <w:pPr>
        <w:spacing w:after="100" w:before="100"/>
      </w:pPr>
      <w:r>
        <w:t xml:space="preserve"/>
      </w:r>
    </w:p>
    <w:tbl>
      <w:tblPr>
        <w:tblW w:type="pct" w:w="6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bCs/>
                <w:sz w:val="21"/>
                <w:szCs w:val="21"/>
              </w:rPr>
              <w:t xml:space="preserve">施設名：</w:t>
            </w:r>
          </w:p>
        </w:tc>
        <w:tc>
          <w:tcPr>
            <w:tcBorders>
              <w:top w:val="none"/>
              <w:left w:val="none"/>
              <w:bottom w:val="single" w:color="444444" w:sz="4"/>
              <w:right w:val="none"/>
            </w:tcBorders>
            <w:tcMar>
              <w:top w:type="dxa" w:w="80"/>
              <w:left w:type="dxa" w:w="120"/>
              <w:bottom w:type="dxa" w:w="80"/>
              <w:right w:type="dxa" w:w="120"/>
            </w:tcMar>
          </w:tcPr>
          <w:p>
            <w:r>
              <w:rPr>
                <w:sz w:val="21"/>
                <w:szCs w:val="21"/>
              </w:rPr>
              <w:t xml:space="preserve"/>
            </w:r>
          </w:p>
        </w:tc>
      </w:tr>
    </w:tbl>
    <w:p>
      <w:r>
        <w:br w:type="page"/>
      </w:r>
    </w:p>
    <w:p>
      <w:pPr>
        <w:pStyle w:val="Heading1"/>
        <w:spacing w:after="200" w:before="360"/>
      </w:pPr>
      <w:r>
        <w:rPr>
          <w:b/>
          <w:bCs/>
          <w:sz w:val="32"/>
          <w:szCs w:val="32"/>
          <w:u w:val="single"/>
        </w:rPr>
        <w:t xml:space="preserve">第1章　介護現場におけるACPの意義</w:t>
      </w:r>
    </w:p>
    <w:p>
      <w:pPr>
        <w:spacing w:after="60" w:before="60"/>
        <w:jc w:val="left"/>
      </w:pPr>
      <w:r>
        <w:rPr>
          <w:b w:val="false"/>
          <w:bCs w:val="false"/>
          <w:i w:val="false"/>
          <w:iCs w:val="false"/>
          <w:sz w:val="21"/>
          <w:szCs w:val="21"/>
        </w:rPr>
        <w:t xml:space="preserve">介護施設においてACPは、入所者の尊厳ある生活を支える基盤です。特別養護老人ホーム・老健・グループホームでは、認知症や加齢による意思疎通困難が生じやすく、早期からのACP実践が入所者の意思を守ることに直結します。</w:t>
      </w:r>
    </w:p>
    <w:p>
      <w:pPr>
        <w:spacing w:after="100" w:before="100"/>
      </w:pPr>
      <w:r>
        <w:t xml:space="preserve"/>
      </w:r>
    </w:p>
    <w:p>
      <w:pPr>
        <w:spacing w:after="60" w:before="60"/>
        <w:jc w:val="left"/>
      </w:pPr>
      <w:r>
        <w:rPr>
          <w:b w:val="false"/>
          <w:bCs w:val="false"/>
          <w:i w:val="false"/>
          <w:iCs w:val="false"/>
          <w:sz w:val="21"/>
          <w:szCs w:val="21"/>
        </w:rPr>
        <w:t xml:space="preserve">令和6年度介護報酬改定では、看取り介護加算の要件において「看取り介護指針」の整備が求められており、ACPプロセスとの連動が重要になっています。</w:t>
      </w:r>
    </w:p>
    <w:p>
      <w:r>
        <w:br w:type="page"/>
      </w:r>
    </w:p>
    <w:p>
      <w:pPr>
        <w:pStyle w:val="Heading1"/>
        <w:spacing w:after="200" w:before="360"/>
      </w:pPr>
      <w:r>
        <w:rPr>
          <w:b/>
          <w:bCs/>
          <w:sz w:val="32"/>
          <w:szCs w:val="32"/>
          <w:u w:val="single"/>
        </w:rPr>
        <w:t xml:space="preserve">第2章　入所時からのACPプロセス</w:t>
      </w:r>
    </w:p>
    <w:p>
      <w:pPr>
        <w:pStyle w:val="Heading2"/>
        <w:spacing w:after="140" w:before="280"/>
      </w:pPr>
      <w:r>
        <w:rPr>
          <w:b/>
          <w:bCs/>
          <w:sz w:val="26"/>
          <w:szCs w:val="26"/>
        </w:rPr>
        <w:t xml:space="preserve">2.1 入所時の取り組み</w:t>
      </w:r>
    </w:p>
    <w:p>
      <w:pPr>
        <w:spacing w:after="60" w:before="60"/>
        <w:jc w:val="left"/>
      </w:pPr>
      <w:r>
        <w:rPr>
          <w:b w:val="false"/>
          <w:bCs w:val="false"/>
          <w:i w:val="false"/>
          <w:iCs w:val="false"/>
          <w:sz w:val="21"/>
          <w:szCs w:val="21"/>
        </w:rPr>
        <w:t xml:space="preserve">入所時面談において、本人・家族にACPの説明を行い、ACPシートを配布します。代理意思決定者の確認を必ず行い、ケアプランにACP内容を反映させます。</w:t>
      </w:r>
    </w:p>
    <w:p>
      <w:pPr>
        <w:spacing w:after="100" w:before="100"/>
      </w:pPr>
      <w:r>
        <w:t xml:space="preserve"/>
      </w:r>
    </w:p>
    <w:p>
      <w:pPr>
        <w:pStyle w:val="Heading2"/>
        <w:spacing w:after="140" w:before="280"/>
      </w:pPr>
      <w:r>
        <w:rPr>
          <w:b/>
          <w:bCs/>
          <w:sz w:val="26"/>
          <w:szCs w:val="26"/>
        </w:rPr>
        <w:t xml:space="preserve">2.2 見直しタイミング</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タイミング</w:t>
            </w:r>
          </w:p>
        </w:tc>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主な確認事項</w:t>
            </w:r>
          </w:p>
        </w:tc>
        <w:tc>
          <w:tcPr>
            <w:tcBorders>
              <w:top w:val="single" w:color="FFFFFF" w:sz="4"/>
              <w:left w:val="single" w:color="FFFFFF" w:sz="4"/>
              <w:bottom w:val="single" w:color="FFFFFF" w:sz="4"/>
              <w:right w:val="single" w:color="FFFFFF" w:sz="4"/>
            </w:tcBorders>
            <w:shd w:color="1e3333" w:val="solid"/>
            <w:tcMar>
              <w:top w:type="dxa" w:w="80"/>
              <w:left w:type="dxa" w:w="120"/>
              <w:bottom w:type="dxa" w:w="80"/>
              <w:right w:type="dxa" w:w="120"/>
            </w:tcMar>
            <w:vAlign w:val="center"/>
          </w:tcPr>
          <w:p>
            <w:pPr>
              <w:jc w:val="center"/>
            </w:pPr>
            <w:r>
              <w:rPr>
                <w:b/>
                <w:bCs/>
                <w:color w:val="FFFFFF"/>
                <w:sz w:val="21"/>
                <w:szCs w:val="21"/>
              </w:rPr>
              <w:t xml:space="preserve">担当者</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入所時</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ACPシートの配布・説明・代理意思決定者の確認</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ケアマネジャー・看護師</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ケアプラン見直し時（6ヶ月毎）</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意向の変化の確認・ケアプランへの反映</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ケアマネジャー</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状態変化時</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医療対応・療養場所の希望確認</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看護師・嘱託医</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入退院前後</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入院中のACP情報の引継ぎ・意向の再確認</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看護師・ケアマネジャー</w:t>
            </w:r>
          </w:p>
        </w:tc>
      </w:tr>
      <w:tr>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本人・家族の希望時</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随時面談・意向変更の確認</w:t>
            </w:r>
          </w:p>
        </w:tc>
        <w:tc>
          <w:tcPr>
            <w:tcBorders>
              <w:top w:val="single" w:color="888888" w:sz="2"/>
              <w:left w:val="single" w:color="888888" w:sz="2"/>
              <w:bottom w:val="single" w:color="888888" w:sz="2"/>
              <w:right w:val="single" w:color="888888" w:sz="2"/>
            </w:tcBorders>
            <w:tcMar>
              <w:top w:type="dxa" w:w="60"/>
              <w:left w:type="dxa" w:w="120"/>
              <w:bottom w:type="dxa" w:w="60"/>
              <w:right w:type="dxa" w:w="120"/>
            </w:tcMar>
            <w:vAlign w:val="center"/>
          </w:tcPr>
          <w:p>
            <w:pPr>
              <w:jc w:val="left"/>
            </w:pPr>
            <w:r>
              <w:rPr>
                <w:b w:val="false"/>
                <w:bCs w:val="false"/>
                <w:sz w:val="21"/>
                <w:szCs w:val="21"/>
              </w:rPr>
              <w:t xml:space="preserve">相談員・ケアマネジャー</w:t>
            </w:r>
          </w:p>
        </w:tc>
      </w:tr>
    </w:tbl>
    <w:p>
      <w:r>
        <w:br w:type="page"/>
      </w:r>
    </w:p>
    <w:p>
      <w:pPr>
        <w:pStyle w:val="Heading1"/>
        <w:spacing w:after="200" w:before="360"/>
      </w:pPr>
      <w:r>
        <w:rPr>
          <w:b/>
          <w:bCs/>
          <w:sz w:val="32"/>
          <w:szCs w:val="32"/>
          <w:u w:val="single"/>
        </w:rPr>
        <w:t xml:space="preserve">第3章　対話の実践</w:t>
      </w:r>
    </w:p>
    <w:p>
      <w:pPr>
        <w:pStyle w:val="Heading2"/>
        <w:spacing w:after="140" w:before="280"/>
      </w:pPr>
      <w:r>
        <w:rPr>
          <w:b/>
          <w:bCs/>
          <w:sz w:val="26"/>
          <w:szCs w:val="26"/>
        </w:rPr>
        <w:t xml:space="preserve">3.1 声かけ例（意向確認時）</w:t>
      </w:r>
    </w:p>
    <w:p>
      <w:pPr>
        <w:spacing w:after="60" w:before="60"/>
        <w:jc w:val="left"/>
      </w:pPr>
      <w:r>
        <w:rPr>
          <w:b w:val="false"/>
          <w:bCs w:val="false"/>
          <w:i w:val="false"/>
          <w:iCs w:val="false"/>
          <w:sz w:val="21"/>
          <w:szCs w:val="21"/>
        </w:rPr>
        <w:t xml:space="preserve">「いつも気にかけています。〇〇さんが大切にされていること、また将来のことについてお話できたらと思っています。今日はお時間いただけますか？」</w:t>
      </w:r>
    </w:p>
    <w:p>
      <w:pPr>
        <w:spacing w:after="100" w:before="100"/>
      </w:pPr>
      <w:r>
        <w:t xml:space="preserve"/>
      </w:r>
    </w:p>
    <w:p>
      <w:pPr>
        <w:pStyle w:val="Heading2"/>
        <w:spacing w:after="140" w:before="280"/>
      </w:pPr>
      <w:r>
        <w:rPr>
          <w:b/>
          <w:bCs/>
          <w:sz w:val="26"/>
          <w:szCs w:val="26"/>
        </w:rPr>
        <w:t xml:space="preserve">3.2 認知症のある方への対話</w:t>
      </w:r>
    </w:p>
    <w:p>
      <w:pPr>
        <w:spacing w:after="60" w:before="60"/>
        <w:jc w:val="left"/>
      </w:pPr>
      <w:r>
        <w:rPr>
          <w:b w:val="false"/>
          <w:bCs w:val="false"/>
          <w:i w:val="false"/>
          <w:iCs w:val="false"/>
          <w:sz w:val="21"/>
          <w:szCs w:val="21"/>
        </w:rPr>
        <w:t xml:space="preserve">認知症の進行により言語でのコミュニケーションが困難な場合でも、表情・身振り・日常の様子から意向を読み取ります。「なじみの関係」を活かし、信頼できるスタッフが対話を担当します。以下の点に注意します。</w:t>
      </w:r>
    </w:p>
    <w:p>
      <w:pPr>
        <w:pStyle w:val="ListParagraph"/>
        <w:numPr>
          <w:ilvl w:val="0"/>
          <w:numId w:val="1"/>
        </w:numPr>
        <w:spacing w:after="40" w:before="40"/>
      </w:pPr>
      <w:r>
        <w:rPr>
          <w:sz w:val="21"/>
          <w:szCs w:val="21"/>
        </w:rPr>
        <w:t xml:space="preserve">穏やかな環境と十分な時間を確保する</w:t>
      </w:r>
    </w:p>
    <w:p>
      <w:pPr>
        <w:pStyle w:val="ListParagraph"/>
        <w:numPr>
          <w:ilvl w:val="0"/>
          <w:numId w:val="1"/>
        </w:numPr>
        <w:spacing w:after="40" w:before="40"/>
      </w:pPr>
      <w:r>
        <w:rPr>
          <w:sz w:val="21"/>
          <w:szCs w:val="21"/>
        </w:rPr>
        <w:t xml:space="preserve">「はい／いいえ」で答えられる質問から始める</w:t>
      </w:r>
    </w:p>
    <w:p>
      <w:pPr>
        <w:pStyle w:val="ListParagraph"/>
        <w:numPr>
          <w:ilvl w:val="0"/>
          <w:numId w:val="1"/>
        </w:numPr>
        <w:spacing w:after="40" w:before="40"/>
      </w:pPr>
      <w:r>
        <w:rPr>
          <w:sz w:val="21"/>
          <w:szCs w:val="21"/>
        </w:rPr>
        <w:t xml:space="preserve">過去の発言・家族からの情報も意向推定に活用する</w:t>
      </w:r>
    </w:p>
    <w:p>
      <w:pPr>
        <w:pStyle w:val="ListParagraph"/>
        <w:numPr>
          <w:ilvl w:val="0"/>
          <w:numId w:val="1"/>
        </w:numPr>
        <w:spacing w:after="40" w:before="40"/>
      </w:pPr>
      <w:r>
        <w:rPr>
          <w:sz w:val="21"/>
          <w:szCs w:val="21"/>
        </w:rPr>
        <w:t xml:space="preserve">意思が揺れることを前提に、繰り返し確認する</w:t>
      </w:r>
    </w:p>
    <w:p>
      <w:r>
        <w:br w:type="page"/>
      </w:r>
    </w:p>
    <w:p>
      <w:pPr>
        <w:pStyle w:val="Heading1"/>
        <w:spacing w:after="200" w:before="360"/>
      </w:pPr>
      <w:r>
        <w:rPr>
          <w:b/>
          <w:bCs/>
          <w:sz w:val="32"/>
          <w:szCs w:val="32"/>
          <w:u w:val="single"/>
        </w:rPr>
        <w:t xml:space="preserve">第4章　看取り介護加算との連動</w:t>
      </w:r>
    </w:p>
    <w:p>
      <w:pPr>
        <w:pStyle w:val="Heading2"/>
        <w:spacing w:after="140" w:before="280"/>
      </w:pPr>
      <w:r>
        <w:rPr>
          <w:b/>
          <w:bCs/>
          <w:sz w:val="26"/>
          <w:szCs w:val="26"/>
        </w:rPr>
        <w:t xml:space="preserve">4.1 看取り介護加算の要件</w:t>
      </w:r>
    </w:p>
    <w:p>
      <w:pPr>
        <w:spacing w:after="60" w:before="60"/>
        <w:jc w:val="left"/>
      </w:pPr>
      <w:r>
        <w:rPr>
          <w:b w:val="false"/>
          <w:bCs w:val="false"/>
          <w:i w:val="false"/>
          <w:iCs w:val="false"/>
          <w:sz w:val="21"/>
          <w:szCs w:val="21"/>
        </w:rPr>
        <w:t xml:space="preserve">看取り介護加算を算定するためには以下の要件を満たす必要があります（令和6年度改定対応）。</w:t>
      </w:r>
    </w:p>
    <w:p>
      <w:pPr>
        <w:pStyle w:val="ListParagraph"/>
        <w:numPr>
          <w:ilvl w:val="0"/>
          <w:numId w:val="1"/>
        </w:numPr>
        <w:spacing w:after="40" w:before="40"/>
      </w:pPr>
      <w:r>
        <w:rPr>
          <w:sz w:val="21"/>
          <w:szCs w:val="21"/>
        </w:rPr>
        <w:t xml:space="preserve">看取り介護指針の策定</w:t>
      </w:r>
    </w:p>
    <w:p>
      <w:pPr>
        <w:pStyle w:val="ListParagraph"/>
        <w:numPr>
          <w:ilvl w:val="0"/>
          <w:numId w:val="1"/>
        </w:numPr>
        <w:spacing w:after="40" w:before="40"/>
      </w:pPr>
      <w:r>
        <w:rPr>
          <w:sz w:val="21"/>
          <w:szCs w:val="21"/>
        </w:rPr>
        <w:t xml:space="preserve">医師（嘱託医含む）との連携体制の確保</w:t>
      </w:r>
    </w:p>
    <w:p>
      <w:pPr>
        <w:pStyle w:val="ListParagraph"/>
        <w:numPr>
          <w:ilvl w:val="0"/>
          <w:numId w:val="1"/>
        </w:numPr>
        <w:spacing w:after="40" w:before="40"/>
      </w:pPr>
      <w:r>
        <w:rPr>
          <w:sz w:val="21"/>
          <w:szCs w:val="21"/>
        </w:rPr>
        <w:t xml:space="preserve">入所者・家族への看取り介護に関する説明と同意取得</w:t>
      </w:r>
    </w:p>
    <w:p>
      <w:pPr>
        <w:pStyle w:val="ListParagraph"/>
        <w:numPr>
          <w:ilvl w:val="0"/>
          <w:numId w:val="1"/>
        </w:numPr>
        <w:spacing w:after="40" w:before="40"/>
      </w:pPr>
      <w:r>
        <w:rPr>
          <w:sz w:val="21"/>
          <w:szCs w:val="21"/>
        </w:rPr>
        <w:t xml:space="preserve">職員に対する看取りに関する研修の実施</w:t>
      </w:r>
    </w:p>
    <w:p>
      <w:pPr>
        <w:pStyle w:val="ListParagraph"/>
        <w:numPr>
          <w:ilvl w:val="0"/>
          <w:numId w:val="1"/>
        </w:numPr>
        <w:spacing w:after="40" w:before="40"/>
      </w:pPr>
      <w:r>
        <w:rPr>
          <w:sz w:val="21"/>
          <w:szCs w:val="21"/>
        </w:rPr>
        <w:t xml:space="preserve">ACPに基づく看取り介護計画の作成</w:t>
      </w:r>
    </w:p>
    <w:p>
      <w:pPr>
        <w:spacing w:after="100" w:before="100"/>
      </w:pPr>
      <w:r>
        <w:t xml:space="preserve"/>
      </w:r>
    </w:p>
    <w:p>
      <w:pPr>
        <w:pStyle w:val="Heading2"/>
        <w:spacing w:after="140" w:before="280"/>
      </w:pPr>
      <w:r>
        <w:rPr>
          <w:b/>
          <w:bCs/>
          <w:sz w:val="26"/>
          <w:szCs w:val="26"/>
        </w:rPr>
        <w:t xml:space="preserve">4.2 ACPとの連動ポイント</w:t>
      </w:r>
    </w:p>
    <w:p>
      <w:pPr>
        <w:spacing w:after="60" w:before="60"/>
        <w:jc w:val="left"/>
      </w:pPr>
      <w:r>
        <w:rPr>
          <w:b w:val="false"/>
          <w:bCs w:val="false"/>
          <w:i w:val="false"/>
          <w:iCs w:val="false"/>
          <w:sz w:val="21"/>
          <w:szCs w:val="21"/>
        </w:rPr>
        <w:t xml:space="preserve">ACPシートにおいて確認した「療養の場所に関する希望」「延命治療に関する意向」を、看取り介護計画に反映させます。家族と施設が合意した内容を文書化し、状態変化のたびに見直しを行います。</w:t>
      </w:r>
    </w:p>
    <w:p>
      <w:r>
        <w:br w:type="page"/>
      </w:r>
    </w:p>
    <w:p>
      <w:pPr>
        <w:pStyle w:val="Heading1"/>
        <w:spacing w:after="200" w:before="360"/>
      </w:pPr>
      <w:r>
        <w:rPr>
          <w:b/>
          <w:bCs/>
          <w:sz w:val="32"/>
          <w:szCs w:val="32"/>
          <w:u w:val="single"/>
        </w:rPr>
        <w:t xml:space="preserve">第5章　家族会議のファシリテーション</w:t>
      </w:r>
    </w:p>
    <w:p>
      <w:pPr>
        <w:pStyle w:val="Heading2"/>
        <w:spacing w:after="140" w:before="280"/>
      </w:pPr>
      <w:r>
        <w:rPr>
          <w:b/>
          <w:bCs/>
          <w:sz w:val="26"/>
          <w:szCs w:val="26"/>
        </w:rPr>
        <w:t xml:space="preserve">5.1 家族会議の開催</w:t>
      </w:r>
    </w:p>
    <w:p>
      <w:pPr>
        <w:spacing w:after="60" w:before="60"/>
        <w:jc w:val="left"/>
      </w:pPr>
      <w:r>
        <w:rPr>
          <w:b w:val="false"/>
          <w:bCs w:val="false"/>
          <w:i w:val="false"/>
          <w:iCs w:val="false"/>
          <w:sz w:val="21"/>
          <w:szCs w:val="21"/>
        </w:rPr>
        <w:t xml:space="preserve">状態悪化時・看取りへの移行時に家族会議を開催します。参加者は本人（可能な場合）、家族・代理意思決定者、嘱託医、看護師、ケアマネジャー、介護職員（主担当）です。</w:t>
      </w:r>
    </w:p>
    <w:p>
      <w:pPr>
        <w:spacing w:after="100" w:before="100"/>
      </w:pPr>
      <w:r>
        <w:t xml:space="preserve"/>
      </w:r>
    </w:p>
    <w:p>
      <w:pPr>
        <w:pStyle w:val="Heading2"/>
        <w:spacing w:after="140" w:before="280"/>
      </w:pPr>
      <w:r>
        <w:rPr>
          <w:b/>
          <w:bCs/>
          <w:sz w:val="26"/>
          <w:szCs w:val="26"/>
        </w:rPr>
        <w:t xml:space="preserve">5.2 ファシリテーションのポイント</w:t>
      </w:r>
    </w:p>
    <w:p>
      <w:pPr>
        <w:pStyle w:val="ListParagraph"/>
        <w:numPr>
          <w:ilvl w:val="0"/>
          <w:numId w:val="1"/>
        </w:numPr>
        <w:spacing w:after="40" w:before="40"/>
      </w:pPr>
      <w:r>
        <w:rPr>
          <w:sz w:val="21"/>
          <w:szCs w:val="21"/>
        </w:rPr>
        <w:t xml:space="preserve">開催前に全員が情報を共有できるよう準備する</w:t>
      </w:r>
    </w:p>
    <w:p>
      <w:pPr>
        <w:pStyle w:val="ListParagraph"/>
        <w:numPr>
          <w:ilvl w:val="0"/>
          <w:numId w:val="1"/>
        </w:numPr>
        <w:spacing w:after="40" w:before="40"/>
      </w:pPr>
      <w:r>
        <w:rPr>
          <w:sz w:val="21"/>
          <w:szCs w:val="21"/>
        </w:rPr>
        <w:t xml:space="preserve">家族が「本人ならどう希望するか」を考えられるよう促す</w:t>
      </w:r>
    </w:p>
    <w:p>
      <w:pPr>
        <w:pStyle w:val="ListParagraph"/>
        <w:numPr>
          <w:ilvl w:val="0"/>
          <w:numId w:val="1"/>
        </w:numPr>
        <w:spacing w:after="40" w:before="40"/>
      </w:pPr>
      <w:r>
        <w:rPr>
          <w:sz w:val="21"/>
          <w:szCs w:val="21"/>
        </w:rPr>
        <w:t xml:space="preserve">医療的な内容は嘱託医から平易な言葉で説明する</w:t>
      </w:r>
    </w:p>
    <w:p>
      <w:pPr>
        <w:pStyle w:val="ListParagraph"/>
        <w:numPr>
          <w:ilvl w:val="0"/>
          <w:numId w:val="1"/>
        </w:numPr>
        <w:spacing w:after="40" w:before="40"/>
      </w:pPr>
      <w:r>
        <w:rPr>
          <w:sz w:val="21"/>
          <w:szCs w:val="21"/>
        </w:rPr>
        <w:t xml:space="preserve">合意形成を急がず、家族の感情に十分配慮する</w:t>
      </w:r>
    </w:p>
    <w:p>
      <w:pPr>
        <w:pStyle w:val="ListParagraph"/>
        <w:numPr>
          <w:ilvl w:val="0"/>
          <w:numId w:val="1"/>
        </w:numPr>
        <w:spacing w:after="40" w:before="40"/>
      </w:pPr>
      <w:r>
        <w:rPr>
          <w:sz w:val="21"/>
          <w:szCs w:val="21"/>
        </w:rPr>
        <w:t xml:space="preserve">決定内容を文書に記録し、全員で確認する</w:t>
      </w:r>
    </w:p>
    <w:p>
      <w:r>
        <w:br w:type="page"/>
      </w:r>
    </w:p>
    <w:p>
      <w:pPr>
        <w:pStyle w:val="Heading1"/>
        <w:spacing w:after="200" w:before="360"/>
      </w:pPr>
      <w:r>
        <w:rPr>
          <w:b/>
          <w:bCs/>
          <w:sz w:val="32"/>
          <w:szCs w:val="32"/>
          <w:u w:val="single"/>
        </w:rPr>
        <w:t xml:space="preserve">第6章　職員の心理的サポート</w:t>
      </w:r>
    </w:p>
    <w:p>
      <w:pPr>
        <w:pStyle w:val="Heading2"/>
        <w:spacing w:after="140" w:before="280"/>
      </w:pPr>
      <w:r>
        <w:rPr>
          <w:b/>
          <w:bCs/>
          <w:sz w:val="26"/>
          <w:szCs w:val="26"/>
        </w:rPr>
        <w:t xml:space="preserve">6.1 職員が感じる困難</w:t>
      </w:r>
    </w:p>
    <w:p>
      <w:pPr>
        <w:spacing w:after="60" w:before="60"/>
        <w:jc w:val="left"/>
      </w:pPr>
      <w:r>
        <w:rPr>
          <w:b w:val="false"/>
          <w:bCs w:val="false"/>
          <w:i w:val="false"/>
          <w:iCs w:val="false"/>
          <w:sz w:val="21"/>
          <w:szCs w:val="21"/>
        </w:rPr>
        <w:t xml:space="preserve">看取り介護・ACP実践において、職員が「もっとできることがあったのでは」「家族に申し訳ない」などの感情を抱えやすいことが知られています。</w:t>
      </w:r>
    </w:p>
    <w:p>
      <w:pPr>
        <w:spacing w:after="100" w:before="100"/>
      </w:pPr>
      <w:r>
        <w:t xml:space="preserve"/>
      </w:r>
    </w:p>
    <w:p>
      <w:pPr>
        <w:pStyle w:val="Heading2"/>
        <w:spacing w:after="140" w:before="280"/>
      </w:pPr>
      <w:r>
        <w:rPr>
          <w:b/>
          <w:bCs/>
          <w:sz w:val="26"/>
          <w:szCs w:val="26"/>
        </w:rPr>
        <w:t xml:space="preserve">6.2 デスカンファレンス（振り返りの会）</w:t>
      </w:r>
    </w:p>
    <w:p>
      <w:pPr>
        <w:spacing w:after="60" w:before="60"/>
        <w:jc w:val="left"/>
      </w:pPr>
      <w:r>
        <w:rPr>
          <w:b w:val="false"/>
          <w:bCs w:val="false"/>
          <w:i w:val="false"/>
          <w:iCs w:val="false"/>
          <w:sz w:val="21"/>
          <w:szCs w:val="21"/>
        </w:rPr>
        <w:t xml:space="preserve">看取り後にデスカンファレンスを実施し、ケアの振り返りと職員の感情の整理を行います。批判でなく感謝と学びの場として位置づけます。</w:t>
      </w:r>
    </w:p>
    <w:p>
      <w:pPr>
        <w:spacing w:after="100" w:before="100"/>
      </w:pPr>
      <w:r>
        <w:t xml:space="preserve"/>
      </w:r>
    </w:p>
    <w:p>
      <w:pPr>
        <w:pStyle w:val="Heading2"/>
        <w:spacing w:after="140" w:before="280"/>
      </w:pPr>
      <w:r>
        <w:rPr>
          <w:b/>
          <w:bCs/>
          <w:sz w:val="26"/>
          <w:szCs w:val="26"/>
        </w:rPr>
        <w:t xml:space="preserve">6.3 管理職・リーダーの役割</w:t>
      </w:r>
    </w:p>
    <w:p>
      <w:pPr>
        <w:pStyle w:val="ListParagraph"/>
        <w:numPr>
          <w:ilvl w:val="0"/>
          <w:numId w:val="1"/>
        </w:numPr>
        <w:spacing w:after="40" w:before="40"/>
      </w:pPr>
      <w:r>
        <w:rPr>
          <w:sz w:val="21"/>
          <w:szCs w:val="21"/>
        </w:rPr>
        <w:t xml:space="preserve">職員の感情表出を歓迎する職場環境をつくる</w:t>
      </w:r>
    </w:p>
    <w:p>
      <w:pPr>
        <w:pStyle w:val="ListParagraph"/>
        <w:numPr>
          <w:ilvl w:val="0"/>
          <w:numId w:val="1"/>
        </w:numPr>
        <w:spacing w:after="40" w:before="40"/>
      </w:pPr>
      <w:r>
        <w:rPr>
          <w:sz w:val="21"/>
          <w:szCs w:val="21"/>
        </w:rPr>
        <w:t xml:space="preserve">定期的なスーパービジョンの機会を設ける</w:t>
      </w:r>
    </w:p>
    <w:p>
      <w:pPr>
        <w:pStyle w:val="ListParagraph"/>
        <w:numPr>
          <w:ilvl w:val="0"/>
          <w:numId w:val="1"/>
        </w:numPr>
        <w:spacing w:after="40" w:before="40"/>
      </w:pPr>
      <w:r>
        <w:rPr>
          <w:sz w:val="21"/>
          <w:szCs w:val="21"/>
        </w:rPr>
        <w:t xml:space="preserve">対話の場を通じてチームの連帯感を強める</w:t>
      </w:r>
    </w:p>
    <w:p>
      <w:r>
        <w:br w:type="page"/>
      </w:r>
    </w:p>
    <w:p>
      <w:pPr>
        <w:pStyle w:val="Heading1"/>
        <w:spacing w:after="200" w:before="360"/>
      </w:pPr>
      <w:r>
        <w:rPr>
          <w:b/>
          <w:bCs/>
          <w:sz w:val="32"/>
          <w:szCs w:val="32"/>
          <w:u w:val="single"/>
        </w:rPr>
        <w:t xml:space="preserve">参考文献</w:t>
      </w:r>
    </w:p>
    <w:p>
      <w:pPr>
        <w:spacing w:after="60" w:before="60"/>
        <w:jc w:val="left"/>
      </w:pPr>
      <w:r>
        <w:rPr>
          <w:b w:val="false"/>
          <w:bCs w:val="false"/>
          <w:i w:val="false"/>
          <w:iCs w:val="false"/>
          <w:sz w:val="21"/>
          <w:szCs w:val="21"/>
        </w:rPr>
        <w:t xml:space="preserve">厚生労働省「人生の最終段階における医療・ケアの決定プロセスに関するガイドライン」2018年3月</w:t>
      </w:r>
    </w:p>
    <w:p>
      <w:pPr>
        <w:spacing w:after="60" w:before="60"/>
        <w:jc w:val="left"/>
      </w:pPr>
      <w:r>
        <w:rPr>
          <w:b w:val="false"/>
          <w:bCs w:val="false"/>
          <w:i w:val="false"/>
          <w:iCs w:val="false"/>
          <w:sz w:val="21"/>
          <w:szCs w:val="21"/>
        </w:rPr>
        <w:t xml:space="preserve">厚生労働省「令和6年度介護報酬改定の概要」2024年</w:t>
      </w:r>
    </w:p>
    <w:p>
      <w:pPr>
        <w:spacing w:after="60" w:before="60"/>
        <w:jc w:val="left"/>
      </w:pPr>
      <w:r>
        <w:rPr>
          <w:b w:val="false"/>
          <w:bCs w:val="false"/>
          <w:i w:val="false"/>
          <w:iCs w:val="false"/>
          <w:sz w:val="21"/>
          <w:szCs w:val="21"/>
        </w:rPr>
        <w:t xml:space="preserve">厚生労働省「看取り介護指針」関連通知</w:t>
      </w:r>
    </w:p>
    <w:p>
      <w:pPr>
        <w:spacing w:after="60" w:before="60"/>
        <w:jc w:val="left"/>
      </w:pPr>
      <w:r>
        <w:rPr>
          <w:b w:val="false"/>
          <w:bCs w:val="false"/>
          <w:i w:val="false"/>
          <w:iCs w:val="false"/>
          <w:sz w:val="21"/>
          <w:szCs w:val="21"/>
        </w:rPr>
        <w:t xml:space="preserve">全国老人福祉施設協議会「看取り介護実践ガイドライン」</w:t>
      </w:r>
    </w:p>
    <w:sectPr>
      <w:pgSz w:w="11906" w:h="16838" w:orient="portrait"/>
      <w:pgMar w:top="1800" w:right="1400" w:bottom="1800" w:left="14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2026-04-06T01:02:18.688Z</dcterms:created>
  <dcterms:modified xsi:type="dcterms:W3CDTF">2026-04-06T01:02:18.688Z</dcterms:modified>
</cp:coreProperties>
</file>

<file path=docProps/custom.xml><?xml version="1.0" encoding="utf-8"?>
<Properties xmlns="http://schemas.openxmlformats.org/officeDocument/2006/custom-properties" xmlns:vt="http://schemas.openxmlformats.org/officeDocument/2006/docPropsVTypes"/>
</file>