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/>
        <w:jc w:val="center"/>
      </w:pPr>
      <w:r>
        <w:rPr>
          <w:b/>
          <w:bCs/>
          <w:sz w:val="44"/>
          <w:szCs w:val="44"/>
        </w:rPr>
        <w:t xml:space="preserve">適切な意思決定支援に関する指針</w:t>
      </w:r>
    </w:p>
    <w:p>
      <w:pPr>
        <w:spacing w:after="200" w:before="0"/>
        <w:jc w:val="center"/>
      </w:pPr>
      <w:r>
        <w:rPr>
          <w:b w:val="false"/>
          <w:bCs w:val="false"/>
          <w:color w:val="555555"/>
          <w:sz w:val="28"/>
          <w:szCs w:val="28"/>
        </w:rPr>
        <w:t xml:space="preserve">（テンプレート）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1"/>
                <w:szCs w:val="21"/>
              </w:rPr>
              <w:t xml:space="preserve">施設名：</w:t>
            </w:r>
          </w:p>
        </w:tc>
        <w:tc>
          <w:tcPr>
            <w:tcBorders>
              <w:top w:val="none"/>
              <w:left w:val="none"/>
              <w:bottom w:val="single" w:color="444444" w:sz="4"/>
              <w:right w:val="none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第1条（目的）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本指針は、患者・利用者が医療・ケアに関する意思決定を行う際に、本人の意思を最大限尊重した支援を行うことを目的とする。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第2条（基本的考え方）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意思決定支援は、本人の自律尊重を原則とし、十分な情報提供と時間の確保のもとで行う。本人が意思決定できない場合は、家族等との協議を経て、本人の最善の利益を追求する。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第3条（対象）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本施設に入院・入所する患者・利用者、およびその家族等を対象とする。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第4条（担当職種と役割）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医師、看護師、社会福祉士（MSW）、薬剤師、管理栄養士、その他の多職種が連携して意思決定支援を実施する。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第5条（ACPの実施）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入院・入所時にACPシートを配布・説明し、意向の確認を行う。定期的な見直しを病状変化時、退院・退所前後、本人・家族の希望時に実施する。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第6条（記録と情報共有）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対話の内容・意思決定の経過をカルテ・ケアプランに記録し、多職種間で共有する。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第7条（倫理的問題への対応）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合意形成が困難な場合や倫理的な問題が生じた場合は、倫理委員会または医療倫理コンサルテーションに諮ることができる。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第8条（職員研修）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職員に対し、ACP・意思決定支援に関する研修を年1回以上実施する。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40" w:before="280"/>
      </w:pPr>
      <w:r>
        <w:rPr>
          <w:b/>
          <w:bCs/>
          <w:sz w:val="26"/>
          <w:szCs w:val="26"/>
        </w:rPr>
        <w:t xml:space="preserve">第9条（指針の見直し）</w:t>
      </w:r>
    </w:p>
    <w:p>
      <w:pPr>
        <w:spacing w:after="60" w:before="60"/>
        <w:jc w:val="left"/>
      </w:pPr>
      <w:r>
        <w:rPr>
          <w:b w:val="false"/>
          <w:bCs w:val="false"/>
          <w:i w:val="false"/>
          <w:iCs w:val="false"/>
          <w:sz w:val="21"/>
          <w:szCs w:val="21"/>
        </w:rPr>
        <w:t xml:space="preserve">本指針は年1回、または診療報酬・介護報酬改定時に見直しを行う。</w:t>
      </w:r>
    </w:p>
    <w:p>
      <w:pPr>
        <w:spacing w:after="100" w:before="100"/>
      </w:pPr>
      <w:r>
        <w:t xml:space="preserve"/>
      </w:r>
    </w:p>
    <w:p>
      <w:pPr>
        <w:pBdr>
          <w:bottom w:val="single" w:color="1e3333" w:sz="6"/>
        </w:pBdr>
        <w:spacing w:after="200" w:before="2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策定日：　　　年　　月　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最終改定日：　年　　月　　日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rPr>
          <w:trHeight w:val="800" w:hRule="atLeast"/>
        </w:trPr>
        <w:tc>
          <w:tcPr>
            <w:tcW w:type="dxa" w:w="2400"/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shd w:color="e8f5f0" w:val="solid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sz w:val="21"/>
                <w:szCs w:val="21"/>
              </w:rPr>
              <w:t xml:space="preserve">施設長署名　　　　　　　　　　　　（印）</w:t>
            </w:r>
          </w:p>
        </w:tc>
        <w:tc>
          <w:tcPr>
            <w:tcBorders>
              <w:top w:val="single" w:color="888888" w:sz="2"/>
              <w:left w:val="single" w:color="888888" w:sz="2"/>
              <w:bottom w:val="single" w:color="888888" w:sz="2"/>
              <w:right w:val="single" w:color="888888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sectPr>
      <w:pgSz w:w="11906" w:h="16838" w:orient="portrait"/>
      <w:pgMar w:top="1080" w:right="1400" w:bottom="1080" w:left="1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2026-04-06T01:02:18.644Z</dcterms:created>
  <dcterms:modified xsi:type="dcterms:W3CDTF">2026-04-06T01:02:18.644Z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